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Interne Notiz: USA-Vergleich</w:t>
      </w:r>
    </w:p>
    <w:p>
      <w:pPr>
        <w:pStyle w:val="Heading2"/>
      </w:pPr>
      <w:r>
        <w:rPr>
          <w:rFonts w:ascii="Times New Roman" w:hAnsi="Times New Roman"/>
        </w:rPr>
        <w:t>Absenderin</w:t>
      </w:r>
    </w:p>
    <w:p>
      <w:pPr>
        <w:jc w:val="left"/>
      </w:pPr>
      <w:r>
        <w:t>Nora Hagedorn-Wibbel, Geschäftsführerin Group Legal &amp; Communications, HanseLicht International AG, Konzernzentrale Hamburg</w:t>
      </w:r>
    </w:p>
    <w:p>
      <w:pPr>
        <w:pStyle w:val="Heading2"/>
      </w:pPr>
      <w:r>
        <w:rPr>
          <w:rFonts w:ascii="Times New Roman" w:hAnsi="Times New Roman"/>
        </w:rPr>
        <w:t>Empfänger</w:t>
      </w:r>
    </w:p>
    <w:p>
      <w:pPr>
        <w:jc w:val="left"/>
      </w:pPr>
      <w:r>
        <w:t>Clara Herbst (interne Anhörung), RAin Muster (Externe Kanzlei), CC: HanseLicht USA Inc. Legal (Adam Pearson, Boston)</w:t>
      </w:r>
    </w:p>
    <w:p>
      <w:pPr>
        <w:pStyle w:val="Heading2"/>
      </w:pPr>
      <w:r>
        <w:rPr>
          <w:rFonts w:ascii="Times New Roman" w:hAnsi="Times New Roman"/>
        </w:rPr>
        <w:t>Betreff</w:t>
      </w:r>
    </w:p>
    <w:p>
      <w:pPr>
        <w:jc w:val="left"/>
      </w:pPr>
      <w:r>
        <w:t>Bitte nicht wieder dieselbe US-Diskussion im Jour fixe</w:t>
      </w:r>
    </w:p>
    <w:p>
      <w:pPr>
        <w:pStyle w:val="Heading2"/>
      </w:pPr>
      <w:r>
        <w:rPr>
          <w:rFonts w:ascii="Times New Roman" w:hAnsi="Times New Roman"/>
        </w:rPr>
        <w:t>Text</w:t>
      </w:r>
    </w:p>
    <w:p>
      <w:pPr>
        <w:jc w:val="left"/>
      </w:pPr>
      <w:r>
        <w:t>Wir haben seit gestern zusätzlich Druck aus der US-Tochter (HanseLicht USA Inc., Boston). Dort wurde im internen Communications-Stand-up gefragt, ob Clara die Beiträge nicht einfach stehen lassen könne, weil "in America this is obviously protected speech" sei. Die Aussage kam nicht von einem US-Anwalt, sondern aus der Kommunikationsabteilung. Adam Pearson (US Counsel) hat dazu noch nichts geschrieben — wir wollen ihn nicht mit einem internen Streit eindecken.</w:t>
      </w:r>
    </w:p>
    <w:p>
      <w:pPr>
        <w:jc w:val="left"/>
      </w:pPr>
      <w:r>
        <w:t>Ich brauche deshalb im Prüfvermerk bitte einen kurzen, sauberen Vergleich:</w:t>
      </w:r>
    </w:p>
    <w:p>
      <w:pPr>
        <w:pStyle w:val="ListNumber"/>
      </w:pPr>
      <w:r>
        <w:t>Warum die deutsche Prüfung nicht mit "Freedom of Speech" erledigt ist (Drittwirkung der Grundrechte, Lüth-Linie, Wechselwirkungslehre).</w:t>
      </w:r>
    </w:p>
    <w:p>
      <w:pPr>
        <w:pStyle w:val="ListNumber"/>
      </w:pPr>
      <w:r>
        <w:t>Ob die Wörter "Lackaffe", "Pinocchio" und "trickst die Zahlen zurecht" nach US-Denken eher als opinion, rhetorical hyperbole oder defamation-risk gelesen würden — mit Verweis auf die einschlägige Supreme-Court-Linie (Milkovich, Hustler, NYT v. Sullivan), aber ohne deutsche Substitution.</w:t>
      </w:r>
    </w:p>
    <w:p>
      <w:pPr>
        <w:pStyle w:val="ListNumber"/>
      </w:pPr>
      <w:r>
        <w:t>Wo der wichtigste Unterschied liegt: deutsche Ehre und APR einerseits, US-public-figure-/actual-malice-Linie andererseits. Stichwort: Beweislast, Vorsatz, "of and concerning the plaintiff".</w:t>
      </w:r>
    </w:p>
    <w:p>
      <w:pPr>
        <w:pStyle w:val="ListNumber"/>
      </w:pPr>
      <w:r>
        <w:t>Welche Formulierung wir der US-Tochter schicken können, ohne unser deutsches Risiko kleinzureden.</w:t>
      </w:r>
    </w:p>
    <w:p>
      <w:pPr>
        <w:pStyle w:val="ListNumber"/>
      </w:pPr>
      <w:r>
        <w:t>Plus-Frage: Kann die US-Tochter sich darauf berufen, dass eine Mitarbeiterin der deutschen Schwester einen "scheme" entlarvt hat, wenn die Mitarbeiterin in den USA arbeiten würde? Nur als gedankliches Gegenprobe.</w:t>
      </w:r>
    </w:p>
    <w:p>
      <w:pPr>
        <w:pStyle w:val="Heading2"/>
      </w:pPr>
      <w:r>
        <w:rPr>
          <w:rFonts w:ascii="Times New Roman" w:hAnsi="Times New Roman"/>
        </w:rPr>
        <w:t>Kontext</w:t>
      </w:r>
    </w:p>
    <w:p>
      <w:pPr>
        <w:jc w:val="left"/>
      </w:pPr>
      <w:r>
        <w:t>Die US-Tochter ist nicht am Bauprojekt Kultursteg beteiligt. Es geht nur um Kommunikationsstrategie und um die Frage, ob wir in einem englischen Board Memo (Quarterly Board Pack Q2) erklären können, weshalb Clara in Deutschland vorsichtiger formulieren muss als in einem amerikanischen Social-Media-Training. Boston möchte am 03.06.2026 einen "Communications Risk Briefing"-Eintrag haben, der Deutschland kohärent abbildet.</w:t>
      </w:r>
    </w:p>
    <w:p>
      <w:pPr>
        <w:pStyle w:val="Heading2"/>
      </w:pPr>
      <w:r>
        <w:rPr>
          <w:rFonts w:ascii="Times New Roman" w:hAnsi="Times New Roman"/>
        </w:rPr>
        <w:t>Internes Politikum</w:t>
      </w:r>
    </w:p>
    <w:p>
      <w:pPr>
        <w:jc w:val="left"/>
      </w:pPr>
      <w:r>
        <w:t>Frau Hagedorn-Wibbel kennt die Konzerntradition: Bei den letzten zwei Krisen hat die US-Seite jeweils argumentiert, "in Germany you are over-lawyered". Sie braucht ein Memo, das diesen Vorwurf nicht bestätigt, aber den deutschen Rahmen sauber begründet. Wichtig: Keine moralische Wertung der US-Linie ("we are stricter than the US for good reason") — nur die positivrechtliche Differenz.</w:t>
      </w:r>
    </w:p>
    <w:p>
      <w:pPr>
        <w:pStyle w:val="Heading2"/>
      </w:pPr>
      <w:r>
        <w:rPr>
          <w:rFonts w:ascii="Times New Roman" w:hAnsi="Times New Roman"/>
        </w:rPr>
        <w:t>Bitte an das Plugin</w:t>
      </w:r>
    </w:p>
    <w:p>
      <w:pPr>
        <w:jc w:val="left"/>
      </w:pPr>
      <w:r>
        <w:t xml:space="preserve">Nutze </w:t>
      </w:r>
      <w:r>
        <w:t>rechtsvergleich-usa-supreme-court</w:t>
      </w:r>
      <w:r>
        <w:t>, aber schreibe ausdrücklich dazu, dass dies kein deutsches Ergebnis ersetzt. Der Vergleich soll kurz genug sein, um in ein Vorstandsmemo kopiert zu werden (max. 2 Seiten DIN A4, deutsch, mit englischer Kurzfassung von max. 12 Zeilen).</w:t>
      </w:r>
    </w:p>
    <w:p>
      <w:pPr>
        <w:pStyle w:val="Heading2"/>
      </w:pPr>
      <w:r>
        <w:rPr>
          <w:rFonts w:ascii="Times New Roman" w:hAnsi="Times New Roman"/>
        </w:rPr>
        <w:t>Verbindung zum laufenden Mandat</w:t>
      </w:r>
    </w:p>
    <w:p>
      <w:pPr>
        <w:jc w:val="left"/>
      </w:pPr>
      <w:r>
        <w:t>Clara ist nicht im Auftrag des Konzerns aufgetreten. Der HanseLicht-Hintergrund spielt eine Rolle für die Kantinen-Äußerung gegenüber Herrn Kallweit, nicht für den Bürgermeister-Komplex. Der USA-Vergleich ist daher klar als "Kommunikationsfrage HanseLicht" zu kennzeichnen, nicht als "Verteidigungslinie Clara".</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HanseLicht International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HanseLicht International AG</w:t>
    </w:r>
  </w:p>
  <w:p>
    <w:pPr>
      <w:jc w:val="left"/>
      <w:pBdr>
        <w:bottom w:val="single" w:sz="6" w:space="2" w:color="3B3F45"/>
      </w:pBdr>
    </w:pPr>
    <w:r>
      <w:rPr>
        <w:rFonts w:ascii="Times New Roman" w:hAnsi="Times New Roman"/>
        <w:color w:val="6B6B66"/>
        <w:sz w:val="16"/>
      </w:rPr>
      <w:t>Geschäftsführerin Group Legal &amp; Communications, Konzernzentrale Hamburg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