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Memo VII — Steuerrechtliche Strukturierung des Asset-Deals</w:t>
      </w:r>
    </w:p>
    <w:p>
      <w:pPr>
        <w:jc w:val="left"/>
      </w:pPr>
      <w:r>
        <w:t>Aktenzeichen: FST-2026-0918 / Memo VII</w:t>
      </w:r>
    </w:p>
    <w:p>
      <w:pPr>
        <w:jc w:val="left"/>
      </w:pPr>
      <w:r>
        <w:t>Datum: 5. Mai 2026</w:t>
      </w:r>
    </w:p>
    <w:p>
      <w:pPr>
        <w:jc w:val="left"/>
      </w:pPr>
      <w:r>
        <w:t>Verfasserin: RAin Annegret Pohlmann (Steuerrecht)</w:t>
      </w:r>
    </w:p>
    <w:p>
      <w:pPr>
        <w:pStyle w:val="Heading2"/>
      </w:pPr>
      <w:r>
        <w:rPr>
          <w:rFonts w:ascii="Times New Roman" w:hAnsi="Times New Roman"/>
        </w:rPr>
        <w:t>A. Strukturierungsfragen</w:t>
      </w:r>
    </w:p>
    <w:p>
      <w:pPr>
        <w:jc w:val="left"/>
      </w:pPr>
      <w:r>
        <w:t>Zwei grundlegende Strukturierungsoptionen werden verglichen:</w:t>
      </w:r>
    </w:p>
    <w:p>
      <w:pPr>
        <w:jc w:val="left"/>
      </w:pPr>
      <w:r>
        <w:rPr>
          <w:b/>
        </w:rPr>
        <w:t>Option A:</w:t>
      </w:r>
      <w:r>
        <w:t xml:space="preserve"> Direkte Übernahme durch Volkenrath Energie SE (Asset Purchase direkt in die SE)</w:t>
      </w:r>
    </w:p>
    <w:p>
      <w:pPr>
        <w:jc w:val="left"/>
      </w:pPr>
      <w:r>
        <w:rPr>
          <w:b/>
        </w:rPr>
        <w:t>Option B:</w:t>
      </w:r>
      <w:r>
        <w:t xml:space="preserve"> Erwerb über eine eigens gegründete deutsche GmbH (Northsea Ammoniak GmbH i.G.) als Akquisitionsvehikel</w:t>
      </w:r>
    </w:p>
    <w:p>
      <w:pPr>
        <w:pStyle w:val="Heading2"/>
      </w:pPr>
      <w:r>
        <w:rPr>
          <w:rFonts w:ascii="Times New Roman" w:hAnsi="Times New Roman"/>
        </w:rPr>
        <w:t>B. Steuerliche Analyse</w:t>
      </w:r>
    </w:p>
    <w:p>
      <w:pPr>
        <w:pStyle w:val="Heading3"/>
      </w:pPr>
      <w:r>
        <w:rPr>
          <w:rFonts w:ascii="Times New Roman" w:hAnsi="Times New Roman"/>
        </w:rPr>
        <w:t>I. Option A — Direkterwerb durch Volkenrath Energie SE</w:t>
      </w:r>
    </w:p>
    <w:p>
      <w:pPr>
        <w:jc w:val="left"/>
      </w:pPr>
      <w:r>
        <w:t>Vorteile:</w:t>
      </w:r>
    </w:p>
    <w:p>
      <w:pPr>
        <w:pStyle w:val="ListBullet"/>
      </w:pPr>
      <w:r>
        <w:t>Keine doppelte Körperschaftsteuerbelastung auf Dividenden zwischen GmbH und SE</w:t>
      </w:r>
    </w:p>
    <w:p>
      <w:pPr>
        <w:pStyle w:val="ListBullet"/>
      </w:pPr>
      <w:r>
        <w:t>Verlustverrechnung unmittelbar mit SE-Gewinnen möglich</w:t>
      </w:r>
    </w:p>
    <w:p>
      <w:pPr>
        <w:pStyle w:val="ListBullet"/>
      </w:pPr>
      <w:r>
        <w:t>Einfachere Konzernstruktur</w:t>
      </w:r>
    </w:p>
    <w:p>
      <w:pPr>
        <w:jc w:val="left"/>
      </w:pPr>
      <w:r>
        <w:t>Nachteile:</w:t>
      </w:r>
    </w:p>
    <w:p>
      <w:pPr>
        <w:pStyle w:val="ListBullet"/>
      </w:pPr>
      <w:r>
        <w:t>Keine Abschirmung von Haftungsrisiken (insbesondere Altlasten)</w:t>
      </w:r>
    </w:p>
    <w:p>
      <w:pPr>
        <w:pStyle w:val="ListBullet"/>
      </w:pPr>
      <w:r>
        <w:t>Keine zukünftige Share-Deal-Option (Steuervorteil step-up entfällt)</w:t>
      </w:r>
    </w:p>
    <w:p>
      <w:pPr>
        <w:pStyle w:val="Heading3"/>
      </w:pPr>
      <w:r>
        <w:rPr>
          <w:rFonts w:ascii="Times New Roman" w:hAnsi="Times New Roman"/>
        </w:rPr>
        <w:t>II. Option B — Erwerb über GmbH-Vehikel</w:t>
      </w:r>
    </w:p>
    <w:p>
      <w:pPr>
        <w:jc w:val="left"/>
      </w:pPr>
      <w:r>
        <w:t>Vorteile:</w:t>
      </w:r>
    </w:p>
    <w:p>
      <w:pPr>
        <w:pStyle w:val="ListBullet"/>
      </w:pPr>
      <w:r>
        <w:t>Haftungsabschirmung (GmbH-Mantel schützt Volkenrath SE vor direkter Haftung)</w:t>
      </w:r>
    </w:p>
    <w:p>
      <w:pPr>
        <w:pStyle w:val="ListBullet"/>
      </w:pPr>
      <w:r>
        <w:t>Späterer Verkauf als Share-Deal möglich (potenzieller Steuervorteil für zukünftigen Erwerber)</w:t>
      </w:r>
    </w:p>
    <w:p>
      <w:pPr>
        <w:pStyle w:val="ListBullet"/>
      </w:pPr>
      <w:r>
        <w:t>EBITDA-optimierte Finanzierungsstruktur (Zinsen auf Akquisitionskredit absetzbar)</w:t>
      </w:r>
    </w:p>
    <w:p>
      <w:pPr>
        <w:jc w:val="left"/>
      </w:pPr>
      <w:r>
        <w:t>Nachteile:</w:t>
      </w:r>
    </w:p>
    <w:p>
      <w:pPr>
        <w:pStyle w:val="ListBullet"/>
      </w:pPr>
      <w:r>
        <w:t>Zinsschranke nach § 4h EStG beachten (EBITDA-Grenze)</w:t>
      </w:r>
    </w:p>
    <w:p>
      <w:pPr>
        <w:pStyle w:val="ListBullet"/>
      </w:pPr>
      <w:r>
        <w:t>Konzernstrukturkosten</w:t>
      </w:r>
    </w:p>
    <w:p>
      <w:pPr>
        <w:pStyle w:val="ListBullet"/>
      </w:pPr>
      <w:r>
        <w:t>Schachteldividendenprivileg nach § 8b KStG erst nach zwölf Monaten Haltefrist</w:t>
      </w:r>
    </w:p>
    <w:p>
      <w:pPr>
        <w:pStyle w:val="Heading3"/>
      </w:pPr>
      <w:r>
        <w:rPr>
          <w:rFonts w:ascii="Times New Roman" w:hAnsi="Times New Roman"/>
        </w:rPr>
        <w:t>III. Post-Brexit Steueraspekte</w:t>
      </w:r>
    </w:p>
    <w:p>
      <w:pPr>
        <w:jc w:val="left"/>
      </w:pPr>
      <w:r>
        <w:t>Das UK-DE-Doppelbesteuerungsabkommen (DBA DE-UK 2010) gilt unverändert. Quellensteuer auf Lizenzgebühren: 0% bei Erfüllung der Substanzanforderungen. Gewerbesteuerpflicht der deutschen Betriebsstätte: ja.</w:t>
      </w:r>
    </w:p>
    <w:p>
      <w:pPr>
        <w:jc w:val="left"/>
      </w:pPr>
      <w:r>
        <w:t>UK-seitig: Stamp Duty Reserve Tax (SDRT) und SDLT wie unter Memo VI. UK-Körperschaftsteuer (Corporation Tax) für den Anteil des Veräußerungsgewinns, der UK-Quellen zuzurechnen ist.</w:t>
      </w:r>
    </w:p>
    <w:p>
      <w:pPr>
        <w:pStyle w:val="Heading3"/>
      </w:pPr>
      <w:r>
        <w:rPr>
          <w:rFonts w:ascii="Times New Roman" w:hAnsi="Times New Roman"/>
        </w:rPr>
        <w:t>IV. Empfohlene Struktur</w:t>
      </w:r>
    </w:p>
    <w:p>
      <w:pPr>
        <w:jc w:val="left"/>
      </w:pPr>
      <w:r>
        <w:t xml:space="preserve">RAin Pohlmann empfiehlt </w:t>
      </w:r>
      <w:r>
        <w:rPr>
          <w:b/>
        </w:rPr>
        <w:t>Option B</w:t>
      </w:r>
      <w:r>
        <w:t xml:space="preserve"> (GmbH-Vehikel) aus steuerlichen und haftungsrechtlichen Gründen. Eine Holding-Struktur (Volkenrath SE → Northsea Holding GmbH → Northsea Ammoniak GmbH) ermöglicht darüber hinaus die Nutzung des Dividendenprivilegs nach § 8b KStG für zukünftige Ausschüttungen.</w:t>
      </w:r>
    </w:p>
    <w:p>
      <w:pPr>
        <w:pStyle w:val="Heading2"/>
      </w:pPr>
      <w:r>
        <w:rPr>
          <w:rFonts w:ascii="Times New Roman" w:hAnsi="Times New Roman"/>
        </w:rPr>
        <w:t>C. Umsatzsteuerliche Aspekte</w:t>
      </w:r>
    </w:p>
    <w:p>
      <w:pPr>
        <w:jc w:val="left"/>
      </w:pPr>
      <w:r>
        <w:t>Der Asset-Deal ist grundsätzlich umsatzsteuerbar. Allerdings greift die Geschäftsveräußerung im Ganzen (GViG) nach § 1 Abs. 1a UStG, sofern alle wesentlichen Betriebsmittel übertragen werden. Bei Erfüllung der GViG-Voraussetzungen entfällt die USt-Belastung auf den Gesamtkaufpreis.</w:t>
      </w:r>
    </w:p>
    <w:p>
      <w:pPr>
        <w:pStyle w:val="Heading2"/>
      </w:pPr>
      <w:r>
        <w:rPr>
          <w:rFonts w:ascii="Times New Roman" w:hAnsi="Times New Roman"/>
        </w:rPr>
        <w:t>D. Handlungsempfehlung</w:t>
      </w:r>
    </w:p>
    <w:p>
      <w:pPr>
        <w:pStyle w:val="ListNumber"/>
      </w:pPr>
      <w:r>
        <w:t>Verbindliche Anfrage beim Finanzamt Hannover-Mitte zur GViG-Einordnung.</w:t>
      </w:r>
    </w:p>
    <w:p>
      <w:pPr>
        <w:pStyle w:val="ListNumber"/>
      </w:pPr>
      <w:r>
        <w:t>Gründung Northsea Ammoniak GmbH i.G. bis spätestens 31. Mai 2026.</w:t>
      </w:r>
    </w:p>
    <w:p>
      <w:pPr>
        <w:pStyle w:val="ListNumber"/>
      </w:pPr>
      <w:r>
        <w:t>Steuerliche Modellierung der Gesamtstruktur durch Steuerberater Deloitte GmbH (beauftragt).</w:t>
      </w:r>
    </w:p>
    <w:p>
      <w:pPr>
        <w:pStyle w:val="ListNumber"/>
      </w:pPr>
      <w:r>
        <w:t>DBA-Analyse UK-seitig durch Bearboe &amp; Harrington LLP / UK Tax Team.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Volkenrath Energie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Volkenrath Energie SE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FST-2026-0918 / Memo VII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