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Memo X — Finanzierungssäule: Debt/Equity-Bridge</w:t>
      </w:r>
    </w:p>
    <w:p>
      <w:pPr>
        <w:jc w:val="left"/>
      </w:pPr>
      <w:r>
        <w:t>Aktenzeichen: FST-2026-0918 / Memo X</w:t>
      </w:r>
    </w:p>
    <w:p>
      <w:pPr>
        <w:jc w:val="left"/>
      </w:pPr>
      <w:r>
        <w:t>Datum: 12. Mai 2026</w:t>
      </w:r>
    </w:p>
    <w:p>
      <w:pPr>
        <w:jc w:val="left"/>
      </w:pPr>
      <w:r>
        <w:t>Verfasserin: RAin Annegret Pohlmann / RA Dr. Theresa Federkamp-Wittfeldt</w:t>
      </w:r>
    </w:p>
    <w:p>
      <w:pPr>
        <w:pStyle w:val="Heading2"/>
      </w:pPr>
      <w:r>
        <w:rPr>
          <w:rFonts w:ascii="Times New Roman" w:hAnsi="Times New Roman"/>
        </w:rPr>
        <w:t>A. Finanzierungsstruktur (Übersicht)</w:t>
      </w:r>
    </w:p>
    <w:p>
      <w:pPr>
        <w:jc w:val="left"/>
      </w:pPr>
      <w:r>
        <w:t>Das Transaktionsvolumen von knapp neun Milliarden Euro wird wie folgt finanziert (Indikativstruktur, Stand: 8. Mai 2026):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Transche</w:t>
            </w:r>
          </w:p>
        </w:tc>
        <w:tc>
          <w:tcPr>
            <w:tcW w:type="dxa" w:w="3024"/>
          </w:tcPr>
          <w:p>
            <w:r>
              <w:rPr>
                <w:rFonts w:ascii="Times New Roman" w:hAnsi="Times New Roman"/>
                <w:b/>
                <w:sz w:val="20"/>
              </w:rPr>
              <w:t>Betrag (EUR Mrd.)</w:t>
            </w:r>
          </w:p>
        </w:tc>
        <w:tc>
          <w:tcPr>
            <w:tcW w:type="dxa" w:w="3024"/>
          </w:tcPr>
          <w:p>
            <w:r>
              <w:rPr>
                <w:rFonts w:ascii="Times New Roman" w:hAnsi="Times New Roman"/>
                <w:b/>
                <w:sz w:val="20"/>
              </w:rPr>
              <w:t>Anteil</w:t>
            </w:r>
          </w:p>
        </w:tc>
      </w:tr>
      <w:tr>
        <w:tc>
          <w:tcPr>
            <w:tcW w:type="dxa" w:w="3024"/>
          </w:tcPr>
          <w:p>
            <w:r>
              <w:rPr>
                <w:rFonts w:ascii="Times New Roman" w:hAnsi="Times New Roman"/>
                <w:sz w:val="20"/>
              </w:rPr>
              <w:t>Eigenkapital (Volkenrath SE)</w:t>
            </w:r>
          </w:p>
        </w:tc>
        <w:tc>
          <w:tcPr>
            <w:tcW w:type="dxa" w:w="3024"/>
          </w:tcPr>
          <w:p>
            <w:r>
              <w:rPr>
                <w:rFonts w:ascii="Times New Roman" w:hAnsi="Times New Roman"/>
                <w:sz w:val="20"/>
              </w:rPr>
              <w:t>2,2</w:t>
            </w:r>
          </w:p>
        </w:tc>
        <w:tc>
          <w:tcPr>
            <w:tcW w:type="dxa" w:w="3024"/>
          </w:tcPr>
          <w:p>
            <w:r>
              <w:rPr>
                <w:rFonts w:ascii="Times New Roman" w:hAnsi="Times New Roman"/>
                <w:sz w:val="20"/>
              </w:rPr>
              <w:t>ca. 25%</w:t>
            </w:r>
          </w:p>
        </w:tc>
      </w:tr>
      <w:tr>
        <w:tc>
          <w:tcPr>
            <w:tcW w:type="dxa" w:w="3024"/>
          </w:tcPr>
          <w:p>
            <w:r>
              <w:rPr>
                <w:rFonts w:ascii="Times New Roman" w:hAnsi="Times New Roman"/>
                <w:sz w:val="20"/>
              </w:rPr>
              <w:t>Senior-Bankdarlehen (Konsortium)</w:t>
            </w:r>
          </w:p>
        </w:tc>
        <w:tc>
          <w:tcPr>
            <w:tcW w:type="dxa" w:w="3024"/>
          </w:tcPr>
          <w:p>
            <w:r>
              <w:rPr>
                <w:rFonts w:ascii="Times New Roman" w:hAnsi="Times New Roman"/>
                <w:sz w:val="20"/>
              </w:rPr>
              <w:t>4,5</w:t>
            </w:r>
          </w:p>
        </w:tc>
        <w:tc>
          <w:tcPr>
            <w:tcW w:type="dxa" w:w="3024"/>
          </w:tcPr>
          <w:p>
            <w:r>
              <w:rPr>
                <w:rFonts w:ascii="Times New Roman" w:hAnsi="Times New Roman"/>
                <w:sz w:val="20"/>
              </w:rPr>
              <w:t>ca. 50%</w:t>
            </w:r>
          </w:p>
        </w:tc>
      </w:tr>
      <w:tr>
        <w:tc>
          <w:tcPr>
            <w:tcW w:type="dxa" w:w="3024"/>
          </w:tcPr>
          <w:p>
            <w:r>
              <w:rPr>
                <w:rFonts w:ascii="Times New Roman" w:hAnsi="Times New Roman"/>
                <w:sz w:val="20"/>
              </w:rPr>
              <w:t>Green Bond (Nachrangig)</w:t>
            </w:r>
          </w:p>
        </w:tc>
        <w:tc>
          <w:tcPr>
            <w:tcW w:type="dxa" w:w="3024"/>
          </w:tcPr>
          <w:p>
            <w:r>
              <w:rPr>
                <w:rFonts w:ascii="Times New Roman" w:hAnsi="Times New Roman"/>
                <w:sz w:val="20"/>
              </w:rPr>
              <w:t>1,5</w:t>
            </w:r>
          </w:p>
        </w:tc>
        <w:tc>
          <w:tcPr>
            <w:tcW w:type="dxa" w:w="3024"/>
          </w:tcPr>
          <w:p>
            <w:r>
              <w:rPr>
                <w:rFonts w:ascii="Times New Roman" w:hAnsi="Times New Roman"/>
                <w:sz w:val="20"/>
              </w:rPr>
              <w:t>ca. 17%</w:t>
            </w:r>
          </w:p>
        </w:tc>
      </w:tr>
      <w:tr>
        <w:tc>
          <w:tcPr>
            <w:tcW w:type="dxa" w:w="3024"/>
          </w:tcPr>
          <w:p>
            <w:r>
              <w:rPr>
                <w:rFonts w:ascii="Times New Roman" w:hAnsi="Times New Roman"/>
                <w:sz w:val="20"/>
              </w:rPr>
              <w:t>Earn-Out (Caledonian)</w:t>
            </w:r>
          </w:p>
        </w:tc>
        <w:tc>
          <w:tcPr>
            <w:tcW w:type="dxa" w:w="3024"/>
          </w:tcPr>
          <w:p>
            <w:r>
              <w:rPr>
                <w:rFonts w:ascii="Times New Roman" w:hAnsi="Times New Roman"/>
                <w:sz w:val="20"/>
              </w:rPr>
              <w:t>0,28</w:t>
            </w:r>
          </w:p>
        </w:tc>
        <w:tc>
          <w:tcPr>
            <w:tcW w:type="dxa" w:w="3024"/>
          </w:tcPr>
          <w:p>
            <w:r>
              <w:rPr>
                <w:rFonts w:ascii="Times New Roman" w:hAnsi="Times New Roman"/>
                <w:sz w:val="20"/>
              </w:rPr>
              <w:t>ca. 3%</w:t>
            </w:r>
          </w:p>
        </w:tc>
      </w:tr>
      <w:tr>
        <w:tc>
          <w:tcPr>
            <w:tcW w:type="dxa" w:w="3024"/>
          </w:tcPr>
          <w:p>
            <w:r>
              <w:rPr>
                <w:rFonts w:ascii="Times New Roman" w:hAnsi="Times New Roman"/>
                <w:sz w:val="20"/>
              </w:rPr>
              <w:t>Brückenfinanzierung</w:t>
            </w:r>
          </w:p>
        </w:tc>
        <w:tc>
          <w:tcPr>
            <w:tcW w:type="dxa" w:w="3024"/>
          </w:tcPr>
          <w:p>
            <w:r>
              <w:rPr>
                <w:rFonts w:ascii="Times New Roman" w:hAnsi="Times New Roman"/>
                <w:sz w:val="20"/>
              </w:rPr>
              <w:t>0,5</w:t>
            </w:r>
          </w:p>
        </w:tc>
        <w:tc>
          <w:tcPr>
            <w:tcW w:type="dxa" w:w="3024"/>
          </w:tcPr>
          <w:p>
            <w:r>
              <w:rPr>
                <w:rFonts w:ascii="Times New Roman" w:hAnsi="Times New Roman"/>
                <w:sz w:val="20"/>
              </w:rPr>
              <w:t>ca. 5%</w:t>
            </w:r>
          </w:p>
        </w:tc>
      </w:tr>
    </w:tbl>
    <w:p>
      <w:pPr>
        <w:jc w:val="left"/>
      </w:pPr>
      <w:r>
        <w:t>Finanzierungsberater: Rothschild &amp; Co. (Frankfurt)</w:t>
      </w:r>
    </w:p>
    <w:p>
      <w:pPr>
        <w:jc w:val="left"/>
      </w:pPr>
      <w:r>
        <w:t>Konsortialführer Bankdarlehen: Deutsche Bank AG, Commerzbank AG</w:t>
      </w:r>
    </w:p>
    <w:p>
      <w:pPr>
        <w:jc w:val="left"/>
      </w:pPr>
      <w:r>
        <w:t>Green-Bond-Arrangeur: ING Groep N.V.</w:t>
      </w:r>
    </w:p>
    <w:p>
      <w:pPr>
        <w:pStyle w:val="Heading2"/>
      </w:pPr>
      <w:r>
        <w:rPr>
          <w:rFonts w:ascii="Times New Roman" w:hAnsi="Times New Roman"/>
        </w:rPr>
        <w:t>B. Rechtliche Fragen</w:t>
      </w:r>
    </w:p>
    <w:p>
      <w:pPr>
        <w:pStyle w:val="Heading3"/>
      </w:pPr>
      <w:r>
        <w:rPr>
          <w:rFonts w:ascii="Times New Roman" w:hAnsi="Times New Roman"/>
        </w:rPr>
        <w:t>I. Covenants</w:t>
      </w:r>
    </w:p>
    <w:p>
      <w:pPr>
        <w:jc w:val="left"/>
      </w:pPr>
      <w:r>
        <w:t>Das Senior-Bankdarlehen sieht folgende Financial Covenants vor:</w:t>
      </w:r>
    </w:p>
    <w:p>
      <w:pPr>
        <w:pStyle w:val="ListBullet"/>
      </w:pPr>
      <w:r>
        <w:t>Leverage Ratio (Nettoverschuldung/EBITDA): max. 5,5x</w:t>
      </w:r>
    </w:p>
    <w:p>
      <w:pPr>
        <w:pStyle w:val="ListBullet"/>
      </w:pPr>
      <w:r>
        <w:t>Interest Coverage Ratio (EBIT/Zinsaufwand): min. 2,5x</w:t>
      </w:r>
    </w:p>
    <w:p>
      <w:pPr>
        <w:pStyle w:val="ListBullet"/>
      </w:pPr>
      <w:r>
        <w:t>Capex-Beschränkung: max. EUR 350.000.000 p.a. in den ersten drei Jahren</w:t>
      </w:r>
    </w:p>
    <w:p>
      <w:pPr>
        <w:jc w:val="left"/>
      </w:pPr>
      <w:r>
        <w:rPr>
          <w:b/>
        </w:rPr>
        <w:t>Risiko:</w:t>
      </w:r>
      <w:r>
        <w:t xml:space="preserve"> Bei Unterschreitung der Leverage Ratio wird ein Event of Default ausgelöst. Angesichts der hohen Kaufpreisfinanzierung und der Altlastenrisiken (Memo V) ist die Covenant-Einhaltung im ersten Jahr als kritisch einzustufen.</w:t>
      </w:r>
    </w:p>
    <w:p>
      <w:pPr>
        <w:pStyle w:val="Heading3"/>
      </w:pPr>
      <w:r>
        <w:rPr>
          <w:rFonts w:ascii="Times New Roman" w:hAnsi="Times New Roman"/>
        </w:rPr>
        <w:t>II. MAC-Klausel</w:t>
      </w:r>
    </w:p>
    <w:p>
      <w:pPr>
        <w:jc w:val="left"/>
      </w:pPr>
      <w:r>
        <w:t>Das Term Sheet enthält eine Material Adverse Change (MAC)-Klausel, die bei wesentlicher Verschlechterung der Finanzlage des Zielunternehmens zwischen Signing und Closing die Kreditgeber berechtigt, die Mittel zurückzuhalten. Definitionsbereich der MAC muss präzise verhandelt werden — Altlastenfunde sollten explizit als MAC-Tatbestand ausgeschlossen werden.</w:t>
      </w:r>
    </w:p>
    <w:p>
      <w:pPr>
        <w:pStyle w:val="Heading3"/>
      </w:pPr>
      <w:r>
        <w:rPr>
          <w:rFonts w:ascii="Times New Roman" w:hAnsi="Times New Roman"/>
        </w:rPr>
        <w:t>III. Zinsschranke (§ 4h EStG)</w:t>
      </w:r>
    </w:p>
    <w:p>
      <w:pPr>
        <w:jc w:val="left"/>
      </w:pPr>
      <w:r>
        <w:t>Bei einer Fremdkapitalfinanzierung von ca. EUR 6.500.000.000 wird die Freigrenze der Zinsschranke (EUR 3.000.000) erheblich überschritten. Netto-Zinsaufwand ca. EUR 260.000.000 p.a. (bei 4% Zinssatz). EBITDA der Northsea Ammoniak GmbH (prognostiziert): EUR 480.000.000. Zinsschranke: 30% × EUR 480.000.000 = EUR 144.000.000. Verbleibendes nicht abziehbares Zinseinkommen: ca. EUR 116.000.000 p.a. Steuereffekt: Mehrbelastung ca. EUR 29.000.000 p.a.</w:t>
      </w:r>
    </w:p>
    <w:p>
      <w:pPr>
        <w:pStyle w:val="Heading3"/>
      </w:pPr>
      <w:r>
        <w:rPr>
          <w:rFonts w:ascii="Times New Roman" w:hAnsi="Times New Roman"/>
        </w:rPr>
        <w:t>IV. Green Bond Compliance</w:t>
      </w:r>
    </w:p>
    <w:p>
      <w:pPr>
        <w:jc w:val="left"/>
      </w:pPr>
      <w:r>
        <w:t>Der Green Bond setzt die Verwendung der Mittel für grüne Projekte (EU Taxonomy) voraus. Ammoniak als Wasserstoffträger ist unter bestimmten Bedingungen taxonomiekonform (Delegated Act Art. 10.1 NFRD). Zertifizierung durch externen Reviewer erforderlich.</w:t>
      </w:r>
    </w:p>
    <w:p>
      <w:pPr>
        <w:pStyle w:val="Heading2"/>
      </w:pPr>
      <w:r>
        <w:rPr>
          <w:rFonts w:ascii="Times New Roman" w:hAnsi="Times New Roman"/>
        </w:rPr>
        <w:t>C. Handlungsempfehlung</w:t>
      </w:r>
    </w:p>
    <w:p>
      <w:pPr>
        <w:pStyle w:val="ListNumber"/>
      </w:pPr>
      <w:r>
        <w:t>MAC-Definition im Kreditvertrag explizit Altlasten ausschließen.</w:t>
      </w:r>
    </w:p>
    <w:p>
      <w:pPr>
        <w:pStyle w:val="ListNumber"/>
      </w:pPr>
      <w:r>
        <w:t>Steuerliche Modellierung Zinsschranke in Finanzmodell integrieren (Deloitte).</w:t>
      </w:r>
    </w:p>
    <w:p>
      <w:pPr>
        <w:pStyle w:val="ListNumber"/>
      </w:pPr>
      <w:r>
        <w:t>Green-Bond-Framework bis 1. Juni 2026 beim Green Bond Reviewer einreichen.</w:t>
      </w:r>
    </w:p>
    <w:p>
      <w:pPr>
        <w:pStyle w:val="ListNumber"/>
      </w:pPr>
      <w:r>
        <w:t>Covenant-Einhaltung in Basecase-Szenario und Stress-Szenario (Altlasten) modellieren.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Deutsche Bank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Deutsche Bank AG</w:t>
    </w:r>
  </w:p>
  <w:p>
    <w:pPr>
      <w:jc w:val="left"/>
      <w:pBdr>
        <w:bottom w:val="single" w:sz="6" w:space="2" w:color="8A6A1F"/>
      </w:pBdr>
    </w:pPr>
    <w:r>
      <w:rPr>
        <w:rFonts w:ascii="Times New Roman" w:hAnsi="Times New Roman"/>
        <w:color w:val="6B6B66"/>
        <w:sz w:val="16"/>
      </w:rPr>
      <w:t>Commerzbank AG · Aktenzeichen: FST-2026-0918 / Memo 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