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Projektorganisation — Deal-Team</w:t>
      </w:r>
    </w:p>
    <w:p>
      <w:pPr>
        <w:jc w:val="left"/>
      </w:pPr>
      <w:r>
        <w:t>Aktenzeichen: FST-2026-0918</w:t>
      </w:r>
    </w:p>
    <w:p>
      <w:pPr>
        <w:jc w:val="left"/>
      </w:pPr>
      <w:r>
        <w:t>Datum: 8. April 2026</w:t>
      </w:r>
    </w:p>
    <w:p>
      <w:pPr>
        <w:jc w:val="left"/>
      </w:pPr>
      <w:r>
        <w:t>Verfasserin: RA Dr. Theresa Federkamp-Wittfeldt</w:t>
      </w:r>
    </w:p>
    <w:p>
      <w:pPr>
        <w:pStyle w:val="Heading2"/>
      </w:pPr>
      <w:r>
        <w:rPr>
          <w:rFonts w:ascii="Times New Roman" w:hAnsi="Times New Roman"/>
        </w:rPr>
        <w:t>Struktur</w:t>
      </w:r>
    </w:p>
    <w:p>
      <w:pPr>
        <w:jc w:val="left"/>
      </w:pPr>
      <w:r>
        <w:t>Der Deal wird nach einem Matrix-Modell organisiert. RA Dr. Federkamp-Wittfeldt nimmt die übergreifende Projektleitung wahr; die Rechtsgebietsspezialisten berichten fachlich an sie und direkt an den Mandanten in ihrer jeweiligen Expertise.</w:t>
      </w:r>
    </w:p>
    <w:p>
      <w:pPr>
        <w:pStyle w:val="Heading2"/>
      </w:pPr>
      <w:r>
        <w:rPr>
          <w:rFonts w:ascii="Times New Roman" w:hAnsi="Times New Roman"/>
        </w:rPr>
        <w:t>Deal-Team Kanzlei FST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Rechtsgebiet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Erreichbarkeit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Dr. Theresa Federkamp-Wittfeldt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Projektleitung / Federführung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M&amp;A, Gesellschaftsrecht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federkamp-wittfeldt@fst-kanzlei.de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Dr. Mark 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Stellv. Projektleitung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Kartellrecht, Energierecht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roosendaal@fst-kanzlei.de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Annegret Pohlmann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Steuerrecht, Finanzierung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pohlmann@fst-kanzlei.de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Christoph Hellersberg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Arbeitsrecht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613a BGB, BetrVG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hellersberg@fst-kanzlei.de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Dr. Vera Sternkampff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Umweltrecht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BBodSchG, Altlasten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sternkampff@fst-kanzlei.de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Jonas Friedebald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DSGVO, BDSG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friedebald@fst-kanzlei.de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Ref. Marie-Luise Hartholt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Referendariat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DD-Koordination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hartholt@fst-kanzlei.de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Deal-Team Mandant (Volkenrath Energie 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Reginald Volkenrath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Strategische Entscheidungen, Signing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Sabine Hagenburg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Finanzierung, Kaufpreisverhandlung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Marc Lattermann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Operative Integration, § 613a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Petra Grüneberg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General Counsel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Rechtliche Koordination intern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Tobias Freyer-Schmidt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M&amp;A-Manager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Datenraum, DD-Koordination intern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Externe Berater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Mandat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Rothschild &amp; Co.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M&amp;A-Berater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Finanzierung, 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Deloitte GmbH WPG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Steuer-/Finanzberater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Tax Structuring, Financial DD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Bremerhöfer Umweltgutachten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Umweltgutachter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Phase-II-Audit Altlasten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Bearboe &amp; Harrington LLP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UK-Counsel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CMA, TUPE, SDLT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Willis Towers Watson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W&amp;I-Versicherung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Kommunikationsprotokoll</w:t>
      </w:r>
    </w:p>
    <w:p>
      <w:pPr>
        <w:pStyle w:val="ListBullet"/>
      </w:pPr>
      <w:r>
        <w:t>Wöchentliche Projekttelefonate: jeweils freitags 14:00 Uhr (alle Team-Leads)</w:t>
      </w:r>
    </w:p>
    <w:p>
      <w:pPr>
        <w:pStyle w:val="ListBullet"/>
      </w:pPr>
      <w:r>
        <w:t>Wöchentliche Status-E-Mail an Vorstand Volkenrath: jeweils montags</w:t>
      </w:r>
    </w:p>
    <w:p>
      <w:pPr>
        <w:pStyle w:val="ListBullet"/>
      </w:pPr>
      <w:r>
        <w:t>Deal-Team-Verteiler: fst-2026-0918@fst-kanzlei.de (intern); externe Berater per separatem Verteiler</w:t>
      </w:r>
    </w:p>
    <w:p>
      <w:pPr>
        <w:pStyle w:val="ListBullet"/>
      </w:pPr>
      <w:r>
        <w:t>Datenraum: Intralinks (Zugang nur für autorisierte Personen)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Volkenrath Energie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Volkenrath Energie SE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 · Aktenzeichen: FST-2026-0918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