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Aufsichtsrats-Vorlage — Zustimmungspflichtiger Asset-Deal</w:t>
      </w:r>
    </w:p>
    <w:p>
      <w:pPr>
        <w:jc w:val="left"/>
      </w:pPr>
      <w:r>
        <w:t>Aktenzeichen: FST-2026-0918 / AR-Vorlage</w:t>
      </w:r>
    </w:p>
    <w:p>
      <w:pPr>
        <w:jc w:val="left"/>
      </w:pPr>
      <w:r>
        <w:t>Datum: 18. Mai 2026</w:t>
      </w:r>
    </w:p>
    <w:p>
      <w:pPr>
        <w:jc w:val="left"/>
      </w:pPr>
      <w:r>
        <w:t>An: Aufsichtsrat der Volkenrath Energie SE</w:t>
      </w:r>
    </w:p>
    <w:p>
      <w:pPr>
        <w:jc w:val="left"/>
      </w:pPr>
      <w:r>
        <w:t>Von: Vorstand (Dr. Reginald Volkenrath, Dr. Sabine Hagenburg, Marc Lattermann)</w:t>
      </w:r>
    </w:p>
    <w:p>
      <w:pPr>
        <w:pStyle w:val="Heading2"/>
      </w:pPr>
      <w:r>
        <w:rPr>
          <w:rFonts w:ascii="Times New Roman" w:hAnsi="Times New Roman"/>
        </w:rPr>
        <w:t>Antrag</w:t>
      </w:r>
    </w:p>
    <w:p>
      <w:pPr>
        <w:jc w:val="left"/>
      </w:pPr>
      <w:r>
        <w:t>Der Vorstand der Volkenrath Energie SE bittet den Aufsichtsrat gemäß § 111 Abs. 4 Satz 2 AktG i.V.m. § 5 Abs. 2 lit. f der Vorstandsgeschäftsordnung um Zustimmung zum Abschluss des nachstehend beschriebenen Asset-Deals.</w:t>
      </w:r>
    </w:p>
    <w:p>
      <w:pPr>
        <w:pStyle w:val="Heading2"/>
      </w:pPr>
      <w:r>
        <w:rPr>
          <w:rFonts w:ascii="Times New Roman" w:hAnsi="Times New Roman"/>
        </w:rPr>
        <w:t>Transaktionsbeschreibung</w:t>
      </w:r>
    </w:p>
    <w:p>
      <w:pPr>
        <w:jc w:val="left"/>
      </w:pPr>
      <w:r>
        <w:rPr>
          <w:b/>
        </w:rPr>
        <w:t>Gegenstand:</w:t>
      </w:r>
      <w:r>
        <w:t xml:space="preserve"> Erwerb sämtlicher Betriebsvermögensgegenstände der Pipeline Northsea Ltd. (UK) von der Caledonian Industrial Holdings plc (Edinburgh) im Wege eines Asset-Deals.</w:t>
      </w:r>
    </w:p>
    <w:p>
      <w:pPr>
        <w:jc w:val="left"/>
      </w:pPr>
      <w:r>
        <w:rPr>
          <w:b/>
        </w:rPr>
        <w:t>Transaktionsvolumen:</w:t>
      </w:r>
      <w:r>
        <w:t xml:space="preserve"> Basiskaufpreis EUR 8.750.000.000 (Enterprise Value); Earn-Out bis EUR 280.000.000.</w:t>
      </w:r>
    </w:p>
    <w:p>
      <w:pPr>
        <w:jc w:val="left"/>
      </w:pPr>
      <w:r>
        <w:rPr>
          <w:b/>
        </w:rPr>
        <w:t>Strategische Begründung:</w:t>
      </w:r>
    </w:p>
    <w:p>
      <w:pPr>
        <w:jc w:val="left"/>
      </w:pPr>
      <w:r>
        <w:t>Die Transaktion sichert der Volkenrath Energie SE die einzige wirtschaftlich nutzbare Ammoniaktransportinfrastruktur zwischen Nordsee-Offshoreproduktion und deutschen Industriekunden. Die Exklusivität dieser Infrastruktur begründet eine dauerhafte strategische Wettbewerbsposition im Wachstumsmarkt grüner Ammoniak. Die Transaktion ist zentraler Bestandteil der Strategie 2030 des Konzerns.</w:t>
      </w:r>
    </w:p>
    <w:p>
      <w:pPr>
        <w:jc w:val="left"/>
      </w:pPr>
      <w:r>
        <w:rPr>
          <w:b/>
        </w:rPr>
        <w:t>Finanzierung:</w:t>
      </w:r>
    </w:p>
    <w:p>
      <w:pPr>
        <w:jc w:val="left"/>
      </w:pPr>
      <w:r>
        <w:t>Eigenkapital EUR 2.200.000.000 (25%), Senior-Bankdarlehen EUR 4.500.000.000 (50%), Green Bond EUR 1.500.000.000 (17%), Brückenfinanzierung EUR 500.000.000 (5%), Earn-Out EUR 280.000.000 (3%). Finanzierungsberater: Rothschild &amp; Co.</w:t>
      </w:r>
    </w:p>
    <w:p>
      <w:pPr>
        <w:pStyle w:val="Heading2"/>
      </w:pPr>
      <w:r>
        <w:rPr>
          <w:rFonts w:ascii="Times New Roman" w:hAnsi="Times New Roman"/>
        </w:rPr>
        <w:t>Wesentliche Risiken</w:t>
      </w:r>
    </w:p>
    <w:p>
      <w:pPr>
        <w:pStyle w:val="ListNumber"/>
      </w:pPr>
      <w:r>
        <w:t>Altlasten Helgoland-Vorgelagert (Sanierungskosten geschätzt EUR 80.000.000 – 180.000.000) — Escrow EUR 180.000.000 vorgesehen</w:t>
      </w:r>
    </w:p>
    <w:p>
      <w:pPr>
        <w:pStyle w:val="ListNumber"/>
      </w:pPr>
      <w:r>
        <w:t>AWG-Investitionsprüfung BMWK — Genehmigung als Closing-Bedingung</w:t>
      </w:r>
    </w:p>
    <w:p>
      <w:pPr>
        <w:pStyle w:val="ListNumber"/>
      </w:pPr>
      <w:r>
        <w:t>Kartellrechtliche Anmeldung BKartA / CMA — Freigaben als Closing-Bedingung</w:t>
      </w:r>
    </w:p>
    <w:p>
      <w:pPr>
        <w:pStyle w:val="Heading2"/>
      </w:pPr>
      <w:r>
        <w:rPr>
          <w:rFonts w:ascii="Times New Roman" w:hAnsi="Times New Roman"/>
        </w:rPr>
        <w:t>Aufsichtsratsbeschluss (Entwurf)</w:t>
      </w:r>
    </w:p>
    <w:p>
      <w:pPr>
        <w:jc w:val="left"/>
      </w:pPr>
      <w:r>
        <w:t>Der Aufsichtsrat stimmt dem Erwerb der Betriebsvermögensgegenstände der Pipeline Northsea Ltd. durch die Volkenrath Energie SE oder eine von ihr zu gründende Tochtergesellschaft zu den Bedingungen des vorgelegten Term Sheets (Stand: 14. Mai 2026) zu, vorbehaltlich folgender Bedingungen:</w:t>
      </w:r>
    </w:p>
    <w:p>
      <w:pPr>
        <w:pStyle w:val="ListNumber"/>
      </w:pPr>
      <w:r>
        <w:t>Die Phase-II-Umweltaudit-Ergebnisse zeigen keine Sanierungskosten über EUR 200.000.000.</w:t>
      </w:r>
    </w:p>
    <w:p>
      <w:pPr>
        <w:pStyle w:val="ListNumber"/>
      </w:pPr>
      <w:r>
        <w:t>Das BMWK erteilt die AWG-Freigabe ohne Deal-Breaker-Auflagen.</w:t>
      </w:r>
    </w:p>
    <w:p>
      <w:pPr>
        <w:pStyle w:val="ListNumber"/>
      </w:pPr>
      <w:r>
        <w:t>Der Basiskaufpreis übersteigt EUR 9.000.000.000 nicht.</w:t>
      </w:r>
    </w:p>
    <w:p>
      <w:pPr>
        <w:pStyle w:val="Heading2"/>
      </w:pPr>
      <w:r>
        <w:rPr>
          <w:rFonts w:ascii="Times New Roman" w:hAnsi="Times New Roman"/>
        </w:rPr>
        <w:t>Anlagen</w:t>
      </w:r>
    </w:p>
    <w:p>
      <w:pPr>
        <w:pStyle w:val="ListBullet"/>
      </w:pPr>
      <w:r>
        <w:t>Anlage 1: Rechtsgutachten FST Memo I–X (Zusammenfassung)</w:t>
      </w:r>
    </w:p>
    <w:p>
      <w:pPr>
        <w:pStyle w:val="ListBullet"/>
      </w:pPr>
      <w:r>
        <w:t>Anlage 2: Finanzierungsstruktur (Rothschild Term Sheet)</w:t>
      </w:r>
    </w:p>
    <w:p>
      <w:pPr>
        <w:pStyle w:val="ListBullet"/>
      </w:pPr>
      <w:r>
        <w:t>Anlage 3: Risiko-Matrix (Aktenstück 15)</w:t>
      </w:r>
    </w:p>
    <w:p>
      <w:pPr>
        <w:pStyle w:val="ListBullet"/>
      </w:pPr>
      <w:r>
        <w:t>Anlage 4: Indikatives Phase-II-Umweltaudit-Vorabbericht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Volkenrath Energie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Volkenrath Energie SE</w:t>
    </w:r>
  </w:p>
  <w:p>
    <w:pPr>
      <w:jc w:val="left"/>
      <w:pBdr>
        <w:bottom w:val="single" w:sz="6" w:space="2" w:color="11555F"/>
      </w:pBdr>
    </w:pPr>
    <w:r>
      <w:rPr>
        <w:rFonts w:ascii="Times New Roman" w:hAnsi="Times New Roman"/>
        <w:color w:val="6B6B66"/>
        <w:sz w:val="16"/>
      </w:rPr>
      <w:t>Unternehmen · Aktenzeichen: FST-2026-0918 / AR-Vorlage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