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 Konkurrenz-Bieter BioNova Chemie AG (Pre-empt-Strategie)</w:t>
      </w:r>
    </w:p>
    <w:p>
      <w:pPr>
        <w:jc w:val="left"/>
      </w:pPr>
      <w:r>
        <w:t>Aktenzeichen: FST-2026-0918</w:t>
      </w:r>
    </w:p>
    <w:p>
      <w:pPr>
        <w:jc w:val="left"/>
      </w:pPr>
      <w:r>
        <w:t>Datum: 12. Mai 2026</w:t>
      </w:r>
    </w:p>
    <w:p>
      <w:pPr>
        <w:jc w:val="left"/>
      </w:pPr>
      <w:r>
        <w:t>Verfasser: RA Dr. Mark Roosendaal</w:t>
      </w:r>
    </w:p>
    <w:p>
      <w:pPr>
        <w:pStyle w:val="Heading2"/>
      </w:pPr>
      <w:r>
        <w:rPr>
          <w:rFonts w:ascii="Times New Roman" w:hAnsi="Times New Roman"/>
        </w:rPr>
        <w:t>Hintergrund</w:t>
      </w:r>
    </w:p>
    <w:p>
      <w:pPr>
        <w:jc w:val="left"/>
      </w:pPr>
      <w:r>
        <w:t>Marktinformationen (Quellen: Finanzpresse, Investmentbank Rothschild) zufolge prüft die BioNova Chemie AG (Frankfurt, DAX) ein Gegenangebot für die Vermögenswerte der Pipeline Northsea Ltd. Ein LOI von BioNova liegt Caledonian nach aktuellem Kenntnisstand noch nicht vor, soll aber bis Ende Mai 2026 erwartet werden.</w:t>
      </w:r>
    </w:p>
    <w:p>
      <w:pPr>
        <w:jc w:val="left"/>
      </w:pPr>
      <w:r>
        <w:t>BioNova-CEO Dr. Konstantin Warlimont hat in einem Investor-Call am 8. Mai 2026 die „strategische Attraktivität von Nordsee-Ammoniakinfrastruktur" hervorgehoben, ohne einen konkreten Deal zu nennen.</w:t>
      </w:r>
    </w:p>
    <w:p>
      <w:pPr>
        <w:pStyle w:val="Heading2"/>
      </w:pPr>
      <w:r>
        <w:rPr>
          <w:rFonts w:ascii="Times New Roman" w:hAnsi="Times New Roman"/>
        </w:rPr>
        <w:t>Rechtliche Ausgangslage</w:t>
      </w:r>
    </w:p>
    <w:p>
      <w:pPr>
        <w:pStyle w:val="Heading3"/>
      </w:pPr>
      <w:r>
        <w:rPr>
          <w:rFonts w:ascii="Times New Roman" w:hAnsi="Times New Roman"/>
        </w:rPr>
        <w:t>I. Exklusivitätsvereinbarung</w:t>
      </w:r>
    </w:p>
    <w:p>
      <w:pPr>
        <w:jc w:val="left"/>
      </w:pPr>
      <w:r>
        <w:t>Volkenrath hat am 14. April 2026 eine Exklusivitätsvereinbarung mit Caledonian geschlossen. Diese sieht eine Lock-out-Periode bis 30. Juni 2026 vor. Caledonian ist während dieser Frist verpflichtet, keine verbindlichen Verhandlungen mit Dritten zu führen.</w:t>
      </w:r>
    </w:p>
    <w:p>
      <w:pPr>
        <w:jc w:val="left"/>
      </w:pPr>
      <w:r>
        <w:rPr>
          <w:b/>
        </w:rPr>
        <w:t>Risiko:</w:t>
      </w:r>
      <w:r>
        <w:t xml:space="preserve"> Die Exklusivitätsvereinbarung ist nach englischem Recht (Governing Law: English Law) zu beurteilen. UK-Counsel Bearboe &amp; Harrington bestätigt, dass die Klausel durchsetzbar ist, sofern der Break-up Fee (EUR 45.000.000) tatsächlich vereinbart wurde. Caledonian könnte jedoch bei einem deutlich höheren BioNova-Gebot die Vertragsstrafe bevorzugen.</w:t>
      </w:r>
    </w:p>
    <w:p>
      <w:pPr>
        <w:pStyle w:val="Heading3"/>
      </w:pPr>
      <w:r>
        <w:rPr>
          <w:rFonts w:ascii="Times New Roman" w:hAnsi="Times New Roman"/>
        </w:rPr>
        <w:t>II. Strategische Optionen</w:t>
      </w:r>
    </w:p>
    <w:p>
      <w:pPr>
        <w:jc w:val="left"/>
      </w:pPr>
      <w:r>
        <w:rPr>
          <w:b/>
        </w:rPr>
        <w:t>Option 1 — Angebotserhöhung:</w:t>
      </w:r>
    </w:p>
    <w:p>
      <w:pPr>
        <w:jc w:val="left"/>
      </w:pPr>
      <w:r>
        <w:t>Volkenrath erhöht den Basiskaufpreis auf EUR 9.000.000.000, um BioNova wirtschaftlich auszustechen. CFO Hagenburg hat hierzu ein Mandat des Vorstands eingeholt. Risiko: Verschlechterung der Finanzierungscovenants.</w:t>
      </w:r>
    </w:p>
    <w:p>
      <w:pPr>
        <w:jc w:val="left"/>
      </w:pPr>
      <w:r>
        <w:rPr>
          <w:b/>
        </w:rPr>
        <w:t>Option 2 — Beschleunigung Signing:</w:t>
      </w:r>
    </w:p>
    <w:p>
      <w:pPr>
        <w:jc w:val="left"/>
      </w:pPr>
      <w:r>
        <w:t>Vorzug des Signing-Termins auf 10. Juni 2026 (statt 20. Juni 2026), um die Exklusivität zu nutzen, bevor ein BioNova-LOI formal eingereicht wird. Risiko: DD nicht vollständig abgeschlossen.</w:t>
      </w:r>
    </w:p>
    <w:p>
      <w:pPr>
        <w:jc w:val="left"/>
      </w:pPr>
      <w:r>
        <w:rPr>
          <w:b/>
        </w:rPr>
        <w:t>Option 3 — Regulatorisches Frühwarnsignal:</w:t>
      </w:r>
    </w:p>
    <w:p>
      <w:pPr>
        <w:jc w:val="left"/>
      </w:pPr>
      <w:r>
        <w:t>Einreichung der BKartA-Pre-Notification bis 18. Mai 2026 signalisiert dem Markt, dass Volkenrath den Prozess ernst nimmt und fortgeschritten ist.</w:t>
      </w:r>
    </w:p>
    <w:p>
      <w:pPr>
        <w:pStyle w:val="Heading2"/>
      </w:pPr>
      <w:r>
        <w:rPr>
          <w:rFonts w:ascii="Times New Roman" w:hAnsi="Times New Roman"/>
        </w:rPr>
        <w:t>Empfehlung</w:t>
      </w:r>
    </w:p>
    <w:p>
      <w:pPr>
        <w:jc w:val="left"/>
      </w:pPr>
      <w:r>
        <w:t>FST empfiehlt Option 2 (Beschleunigung Signing) in Kombination mit Option 3 (BKartA Pre-Notification). Das Risiko eines unvollständigen DD wird durch die vereinbarte W&amp;I-Versicherung abgefedert. Voraussetzung: Phase-II-Umweltaudit-Vorbericht liegt bis 20. Mai 2026 vor.</w:t>
      </w:r>
    </w:p>
    <w:p>
      <w:pPr>
        <w:jc w:val="left"/>
      </w:pPr>
      <w:r>
        <w:t>Eine Angebotserhöhung (Option 1) sollte nur als letztes Mittel eingesetzt werden.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Konkurrenz-Bieter BioNova Chemie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Konkurrenz-Bieter BioNova Chemie AG</w:t>
    </w:r>
  </w:p>
  <w:p>
    <w:pPr>
      <w:jc w:val="left"/>
      <w:pBdr>
        <w:bottom w:val="single" w:sz="6" w:space="2" w:color="3B3F45"/>
      </w:pBdr>
    </w:pPr>
    <w:r>
      <w:rPr>
        <w:rFonts w:ascii="Times New Roman" w:hAnsi="Times New Roman"/>
        <w:color w:val="6B6B66"/>
        <w:sz w:val="16"/>
      </w:rPr>
      <w:t>Unternehmen · Aktenzeichen: FST-2026-0918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