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Replik Mandant Tannenkamp</w:t>
      </w:r>
    </w:p>
    <w:p>
      <w:pPr>
        <w:jc w:val="left"/>
      </w:pPr>
      <w:r>
        <w:rPr>
          <w:b/>
        </w:rPr>
        <w:t>Kanzlei-AZ:</w:t>
      </w:r>
      <w:r>
        <w:t xml:space="preserve"> KP-2026-0387</w:t>
      </w:r>
    </w:p>
    <w:p>
      <w:pPr>
        <w:jc w:val="left"/>
      </w:pPr>
      <w:r>
        <w:rPr>
          <w:b/>
        </w:rPr>
        <w:t>Gericht:</w:t>
      </w:r>
      <w:r>
        <w:t xml:space="preserve"> AG Leipzig 1 C 417/26</w:t>
      </w:r>
    </w:p>
    <w:p>
      <w:pPr>
        <w:jc w:val="left"/>
      </w:pPr>
      <w:r>
        <w:rPr>
          <w:b/>
        </w:rPr>
        <w:t>Eingereicht:</w:t>
      </w:r>
      <w:r>
        <w:t xml:space="preserve"> 25.04.2026</w:t>
      </w:r>
    </w:p>
    <w:p/>
    <w:p>
      <w:pPr>
        <w:pStyle w:val="Heading2"/>
      </w:pPr>
      <w:r>
        <w:rPr>
          <w:rFonts w:ascii="Times New Roman" w:hAnsi="Times New Roman"/>
        </w:rPr>
        <w:t>Einleitung</w:t>
      </w:r>
    </w:p>
    <w:p>
      <w:pPr>
        <w:jc w:val="left"/>
      </w:pPr>
      <w:r>
        <w:t>Die Klageerwiderung der Beklagten (Schriftsatz RA Dr. Boden-Kassau vom 08.04.2026) gibt Anlass zu folgenden ergänzenden Ausführungen.</w:t>
      </w:r>
    </w:p>
    <w:p/>
    <w:p>
      <w:pPr>
        <w:pStyle w:val="Heading2"/>
      </w:pPr>
      <w:r>
        <w:rPr>
          <w:rFonts w:ascii="Times New Roman" w:hAnsi="Times New Roman"/>
        </w:rPr>
        <w:t>Zu den Ausführungen über das Gegengutachten Breitfeld</w:t>
      </w:r>
    </w:p>
    <w:p>
      <w:pPr>
        <w:jc w:val="left"/>
      </w:pPr>
      <w:r>
        <w:t>Das von der Beklagten vorgelegte Gutachten Breitfeld (Anlage B1) ist methodisch unzureichend und kann die Feststellungen des öbvSV Schollbach nicht erschüttern. Im Einzelnen:</w:t>
      </w:r>
    </w:p>
    <w:p>
      <w:pPr>
        <w:jc w:val="left"/>
      </w:pPr>
      <w:r>
        <w:rPr>
          <w:b/>
        </w:rPr>
        <w:t>1. Keine eigene Messung</w:t>
      </w:r>
    </w:p>
    <w:p>
      <w:pPr>
        <w:jc w:val="left"/>
      </w:pPr>
      <w:r>
        <w:t>Der Gutachter Breitfeld hat die Wohnung nach eigener Aussage am 15.03.2026 für ca. 45 Minuten besichtigt, jedoch keine eigenen Thermografieaufnahmen erstellt und keine Oberflächenfeuchtemessung vorgenommen. Sein Gutachten beruht ausschließlich auf der Sichtung des Gutachtens Schollbach und einer eigenen Beurteilung der Fotos. Dies entspricht keiner eigenständigen Befunderhebung.</w:t>
      </w:r>
    </w:p>
    <w:p>
      <w:pPr>
        <w:jc w:val="left"/>
      </w:pPr>
      <w:r>
        <w:rPr>
          <w:b/>
        </w:rPr>
        <w:t>2. Anforderungen an den Nachweis eines Lüftungsfehlers</w:t>
      </w:r>
    </w:p>
    <w:p>
      <w:pPr>
        <w:jc w:val="left"/>
      </w:pPr>
      <w:r>
        <w:t>Der BGH hat in der Entscheidung VIII ZR 271/17 (Urt. v. 05.12.2018) klargestellt: Der Vermieter muss den Lüftungsfehler des Mieters konkret belegen. Der pauschale Hinweis, das Eigenprotokoll des Klägers sei methodisch unzureichend, reicht nicht aus. Die Beklagte hätte darlegen müssen, wie häufig und in welchem Umfang gelüftet werden müsste, um die gemessene Wärmebrücke schadensneutral zu halten — das Gegengutachten enthält hierzu keine Angaben.</w:t>
      </w:r>
    </w:p>
    <w:p>
      <w:pPr>
        <w:jc w:val="left"/>
      </w:pPr>
      <w:r>
        <w:rPr>
          <w:b/>
        </w:rPr>
        <w:t>3. Vollgutachten Schollbach</w:t>
      </w:r>
    </w:p>
    <w:p>
      <w:pPr>
        <w:jc w:val="left"/>
      </w:pPr>
      <w:r>
        <w:t>Mit dieser Replik wird das Vollgutachten Schollbach vom 04.03.2026 (Anlage K7, 38 Seiten + Thermografiebilder + Laborbericht) eingereicht. Dieses enthält:</w:t>
      </w:r>
    </w:p>
    <w:p>
      <w:pPr>
        <w:pStyle w:val="ListBullet"/>
      </w:pPr>
      <w:r>
        <w:t>24 Thermografieaufnahmen vom 23.01.2026 (bei Außentemperatur -4 °C)</w:t>
      </w:r>
    </w:p>
    <w:p>
      <w:pPr>
        <w:pStyle w:val="ListBullet"/>
      </w:pPr>
      <w:r>
        <w:t>Laboranalyse der Abstriche durch Umwelthygiene Leipzig GmbH (Anlage K8)</w:t>
      </w:r>
    </w:p>
    <w:p>
      <w:pPr>
        <w:pStyle w:val="ListBullet"/>
      </w:pPr>
      <w:r>
        <w:t>Berechnung des notwendigen Lüftungsvolumens zum Vermeiden von Tauwasserausfall an der Wärmebrücke: 4,8-facher Luftwechsel pro Stunde wäre erforderlich — dies ist in einer normalen Wohnsituation nicht zumutbar und entspricht keiner allgemeinen Lüftungsobliegenheit des Mieters.</w:t>
      </w:r>
    </w:p>
    <w:p/>
    <w:p>
      <w:pPr>
        <w:pStyle w:val="Heading2"/>
      </w:pPr>
      <w:r>
        <w:rPr>
          <w:rFonts w:ascii="Times New Roman" w:hAnsi="Times New Roman"/>
        </w:rPr>
        <w:t>Zu § 536b BGB (Kenntnis bei Vertragsschluss)</w:t>
      </w:r>
    </w:p>
    <w:p>
      <w:pPr>
        <w:jc w:val="left"/>
      </w:pPr>
      <w:r>
        <w:t>Die Beklagte behauptet, die Wärmebrücke sei schon beim Einzug 2014 vorhanden gewesen und daher dem Kläger bekannt. Dies ist rechtlich und tatsächlich unzutreffend:</w:t>
      </w:r>
    </w:p>
    <w:p>
      <w:pPr>
        <w:pStyle w:val="ListNumber"/>
      </w:pPr>
      <w:r>
        <w:rPr>
          <w:b/>
        </w:rPr>
        <w:t>Tatsächlich:</w:t>
      </w:r>
      <w:r>
        <w:t xml:space="preserve"> In den Jahren 2014 bis 2024 (10 Jahre) ist kein Schimmelschaden aufgetreten. Die Wärmebrücke hat sich erst in den besonders kalten Wintern 2023/24 und 2024/25 als schadensrelevant erwiesen.</w:t>
      </w:r>
    </w:p>
    <w:p>
      <w:pPr>
        <w:pStyle w:val="ListNumber"/>
      </w:pPr>
      <w:r>
        <w:rPr>
          <w:b/>
        </w:rPr>
        <w:t>Rechtlich:</w:t>
      </w:r>
      <w:r>
        <w:t xml:space="preserve"> § 536b BGB setzt positive Kenntnis des konkreten Mangels voraus, nicht die abstrakte Kenntnis von Baukonstruktionseigenschaften. Die bloße Möglichkeit, dass eine Außenwand kälter als die Raumluft ist, begründet keine Kenntnis eines Schimmelbefalls.</w:t>
      </w:r>
    </w:p>
    <w:p>
      <w:pPr>
        <w:pStyle w:val="ListNumber"/>
      </w:pPr>
      <w:r>
        <w:rPr>
          <w:b/>
        </w:rPr>
        <w:t>Rechtsprechung:</w:t>
      </w:r>
      <w:r>
        <w:t xml:space="preserve"> LG Berlin 65 S 183/17: Das Bewohnen einer Altbauwohnung verschafft dem Mieter keine Kenntnis von Schimmelpotenzial in der Sinne des § 536b BGB.</w:t>
      </w:r>
    </w:p>
    <w:p/>
    <w:p>
      <w:pPr>
        <w:pStyle w:val="Heading2"/>
      </w:pPr>
      <w:r>
        <w:rPr>
          <w:rFonts w:ascii="Times New Roman" w:hAnsi="Times New Roman"/>
        </w:rPr>
        <w:t>Zu Schadensersatz und Sachverständigenkosten</w:t>
      </w:r>
    </w:p>
    <w:p>
      <w:pPr>
        <w:jc w:val="left"/>
      </w:pPr>
      <w:r>
        <w:t>Die Sachverständigenkosten waren zur zweckentsprechenden Rechtsverfolgung erforderlich (§ 249 BGB). Der Kläger hatte nach zweimaliger schriftlicher Mängelanzeige und Ablehnung durch den Vermieter keine andere Möglichkeit als ein Sachverständigengutachten in Auftrag zu geben, um die Mangelursache zu belegen. Die Kosten entsprechen dem ortsüblichen Honorar (HOAI-analog: Grundleistungen Gutachten SV Schollbach; Honorarrechnung liegt als Anlage K9 vor).</w:t>
      </w:r>
    </w:p>
    <w:p/>
    <w:p>
      <w:pPr>
        <w:pStyle w:val="Heading2"/>
      </w:pPr>
      <w:r>
        <w:rPr>
          <w:rFonts w:ascii="Times New Roman" w:hAnsi="Times New Roman"/>
        </w:rPr>
        <w:t>Beweisantrag: Gerichtliches SV-Gutachten</w:t>
      </w:r>
    </w:p>
    <w:p>
      <w:pPr>
        <w:jc w:val="left"/>
      </w:pPr>
      <w:r>
        <w:t>Der Kläger schließt sich dem Antrag auf gerichtliche Einholung eines Sachverständigengutachtens insofern an, als er beantragt, dem Sachverständigen auch die Aufgabe zu übertragen, festzustellen, ob das Lüftungsverhalten des Klägers ursächlich für den Schimmelschaden war. Das gerichtliche Gutachten soll die Frage auf Grundlage der vorliegenden Messprotokolle und einer neuerlichen Besichtigung beantworten.</w:t>
      </w:r>
    </w:p>
    <w:p/>
    <w:p>
      <w:pPr>
        <w:pStyle w:val="Heading2"/>
      </w:pPr>
      <w:r>
        <w:rPr>
          <w:rFonts w:ascii="Times New Roman" w:hAnsi="Times New Roman"/>
        </w:rPr>
        <w:t>Ergebnis</w:t>
      </w:r>
    </w:p>
    <w:p>
      <w:pPr>
        <w:jc w:val="left"/>
      </w:pPr>
      <w:r>
        <w:t>Die Beklagte hat keine substanziellen Einwände erhoben, die die Begründetheit der Klage in Frage stellen. Der Kläger hält alle Anträge vollumfänglich aufrecht.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 AG Leipzig 1 C 417/26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 AG Leipzig 1 C 417/26</w:t>
    </w:r>
  </w:p>
  <w:p>
    <w:pPr>
      <w:jc w:val="left"/>
      <w:pBdr>
        <w:bottom w:val="single" w:sz="6" w:space="2" w:color="3B3F45"/>
      </w:pBdr>
    </w:pPr>
    <w:r>
      <w:rPr>
        <w:rFonts w:ascii="Times New Roman" w:hAnsi="Times New Roman"/>
        <w:color w:val="6B6B66"/>
        <w:sz w:val="16"/>
      </w:rPr>
      <w:t>Gericht · 1 C 417/26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