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Bauamt und Ordnungsamt</w:t>
      </w:r>
    </w:p>
    <w:p>
      <w:pPr>
        <w:pStyle w:val="Heading2"/>
      </w:pPr>
      <w:r>
        <w:rPr>
          <w:rFonts w:ascii="Times New Roman" w:hAnsi="Times New Roman"/>
        </w:rPr>
        <w:t>Telefonnotiz Bauaufsicht Köln, 24.02.2025</w:t>
      </w:r>
    </w:p>
    <w:p>
      <w:pPr>
        <w:jc w:val="left"/>
      </w:pPr>
      <w:r>
        <w:t>Frau Albers ruft an wegen Poolgrube, Grenzmauer und Carport. Sachbearbeiter sagt, für kleinere Carports könne Genehmigungsfreiheit bestehen; privatrechtliche Nachbaransprüche prüfe die Bauaufsicht nicht. Bei Einsturzgefahr solle sie Fotos und Lage senden.</w:t>
      </w:r>
    </w:p>
    <w:p>
      <w:pPr>
        <w:pStyle w:val="Heading2"/>
      </w:pPr>
      <w:r>
        <w:rPr>
          <w:rFonts w:ascii="Times New Roman" w:hAnsi="Times New Roman"/>
        </w:rPr>
        <w:t>E-Mail an Bauaufsicht, 25.02.2025</w:t>
      </w:r>
    </w:p>
    <w:p>
      <w:pPr>
        <w:jc w:val="left"/>
      </w:pPr>
      <w:r>
        <w:t>Frau Albers sendet vier Fotos der Baugrube und der gerissenen Mauer. Keine Antwort in der Akte.</w:t>
      </w:r>
    </w:p>
    <w:p>
      <w:pPr>
        <w:pStyle w:val="Heading2"/>
      </w:pPr>
      <w:r>
        <w:rPr>
          <w:rFonts w:ascii="Times New Roman" w:hAnsi="Times New Roman"/>
        </w:rPr>
        <w:t>Ordnungsamt Licht/Kamera, 23.05.2026</w:t>
      </w:r>
    </w:p>
    <w:p>
      <w:pPr>
        <w:jc w:val="left"/>
      </w:pPr>
      <w:r>
        <w:t>Herr Albers fragt, ob Kamera und Bewegungslicht verboten werden können. Ordnungsamt verweist auf Datenschutzaufsicht für Kamera und auf zivilrechtliche Klärung bei Lichtimmissionen. Keine förmliche Verfügung.</w:t>
      </w:r>
    </w:p>
    <w:p>
      <w:pPr>
        <w:pStyle w:val="Heading2"/>
      </w:pPr>
      <w:r>
        <w:rPr>
          <w:rFonts w:ascii="Times New Roman" w:hAnsi="Times New Roman"/>
        </w:rPr>
        <w:t>Bauakte Carport</w:t>
      </w:r>
    </w:p>
    <w:p>
      <w:pPr>
        <w:jc w:val="left"/>
      </w:pPr>
      <w:r>
        <w:t>Nicht eingesehen. Unklar:</w:t>
      </w:r>
    </w:p>
    <w:p>
      <w:pPr>
        <w:pStyle w:val="ListBullet"/>
      </w:pPr>
      <w:r>
        <w:t>ob Lageplan eingereicht wurde,</w:t>
      </w:r>
    </w:p>
    <w:p>
      <w:pPr>
        <w:pStyle w:val="ListBullet"/>
      </w:pPr>
      <w:r>
        <w:t>ob Abstandsflächen geprüft wurden,</w:t>
      </w:r>
    </w:p>
    <w:p>
      <w:pPr>
        <w:pStyle w:val="ListBullet"/>
      </w:pPr>
      <w:r>
        <w:t>ob Entwässerung berücksichtigt wurde,</w:t>
      </w:r>
    </w:p>
    <w:p>
      <w:pPr>
        <w:pStyle w:val="ListBullet"/>
      </w:pPr>
      <w:r>
        <w:t>ob Carport als genehmigungsfrei behandelt wurde.</w:t>
      </w:r>
    </w:p>
    <w:p>
      <w:pPr>
        <w:pStyle w:val="Heading2"/>
      </w:pPr>
      <w:r>
        <w:rPr>
          <w:rFonts w:ascii="Times New Roman" w:hAnsi="Times New Roman"/>
        </w:rPr>
        <w:t>Behördliches Risiko</w:t>
      </w:r>
    </w:p>
    <w:p>
      <w:pPr>
        <w:jc w:val="left"/>
      </w:pPr>
      <w:r>
        <w:t>Die Mandanten erwarten von Bauamt und Ordnungsamt mehr, als diese wahrscheinlich leisten. Für privatrechtliche Grenze, Überbau, Überhang und Einfriedung braucht es eigene Anspruchsprüfung. Bei Gefahr durch Mauer/Baugrube kann die Bauaufsicht aber wichtig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Bauamt und Ordnungsamt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Bauamt und Ordnungsamt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