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Telefonprotokolle Kanzlei Welling</w:t>
      </w:r>
    </w:p>
    <w:p>
      <w:pPr>
        <w:jc w:val="left"/>
      </w:pPr>
      <w:r>
        <w:t>Aufgenommen von Sekretariat (Frau Bortenschlager) und RAin Welling. Reinschrift aus dem internen Kanzleisystem PortaJur.</w:t>
      </w:r>
    </w:p>
    <w:p>
      <w:pPr>
        <w:pStyle w:val="Heading2"/>
      </w:pPr>
      <w:r>
        <w:rPr>
          <w:rFonts w:ascii="Times New Roman" w:hAnsi="Times New Roman"/>
        </w:rPr>
        <w:t>03.02.2025, 14:22 Uhr — Dr. Albers ruft erstmals an</w:t>
      </w:r>
    </w:p>
    <w:p>
      <w:pPr>
        <w:jc w:val="left"/>
      </w:pPr>
      <w:r>
        <w:t>Anrufer: Dr. Henning Albers, Mobilnummer hinterlegt.</w:t>
      </w:r>
    </w:p>
    <w:p>
      <w:pPr>
        <w:jc w:val="left"/>
      </w:pPr>
      <w:r>
        <w:t>Dauer: 18 Min.</w:t>
      </w:r>
    </w:p>
    <w:p>
      <w:pPr>
        <w:jc w:val="left"/>
      </w:pPr>
      <w:r>
        <w:t>Albers schildert die Hecken- und Carport-Lage sehr aufgeregt. Frau Welling bittet um Mailzusendung der bisherigen Korrespondenz und schlägt Erstgespräch am 11.02.2025 vor. Albers erwähnt am Rande, Kessler habe „mit Anwalt gedroht", aber noch nichts Schriftliches vorgelegt. Frau Welling weist auf RVG-Vergütung hin, Albers sagt Honorarvereinbarung zu. Erstgespräch wird im Kalender bestätigt.</w:t>
      </w:r>
    </w:p>
    <w:p>
      <w:pPr>
        <w:pStyle w:val="Heading2"/>
      </w:pPr>
      <w:r>
        <w:rPr>
          <w:rFonts w:ascii="Times New Roman" w:hAnsi="Times New Roman"/>
        </w:rPr>
        <w:t>17.04.2025, 10:45 Uhr — Bauamt Köln Rückruf</w:t>
      </w:r>
    </w:p>
    <w:p>
      <w:pPr>
        <w:jc w:val="left"/>
      </w:pPr>
      <w:r>
        <w:t>Anrufer: Konstantin Heuermann, Bauamt Stadt Köln, Bezirk Rodenkirchen.</w:t>
      </w:r>
    </w:p>
    <w:p>
      <w:pPr>
        <w:jc w:val="left"/>
      </w:pPr>
      <w:r>
        <w:t>Entgegengenommen von: Frau Bortenschlager.</w:t>
      </w:r>
    </w:p>
    <w:p>
      <w:pPr>
        <w:jc w:val="left"/>
      </w:pPr>
      <w:r>
        <w:t xml:space="preserve">Herr Heuermann meldet sich auf die E-Mail vom 14.03.2025 (vgl. </w:t>
      </w:r>
      <w:r>
        <w:t>emails/2025-03-14_…eml</w:t>
      </w:r>
      <w:r>
        <w:t>). Er sagt, das Bauamt sehe sich für den Carport „nicht in der Pflicht zum Einschreiten, solange keine Gefährdung im Bauordnungsrecht vorliege". Er werde dies schriftlich am 02.04.2025 nochmals bestätigen. Auf Frage nach der Baugenehmigung Kessler verweist er auf das Archiv, Abruf dauere bis zu sechs Wochen.</w:t>
      </w:r>
    </w:p>
    <w:p>
      <w:pPr>
        <w:jc w:val="left"/>
      </w:pPr>
      <w:r>
        <w:t>Notiz Welling: Eilrechtsschutz-Schiene gegen Bauamt vorerst nicht aussichtsreich, da Bauamt sich auf privatrechtliche Klärung beruft.</w:t>
      </w:r>
    </w:p>
    <w:p>
      <w:pPr>
        <w:pStyle w:val="Heading2"/>
      </w:pPr>
      <w:r>
        <w:rPr>
          <w:rFonts w:ascii="Times New Roman" w:hAnsi="Times New Roman"/>
        </w:rPr>
        <w:t>22.05.2025, 16:08 Uhr — Frau Albers, sehr aufgebracht</w:t>
      </w:r>
    </w:p>
    <w:p>
      <w:pPr>
        <w:jc w:val="left"/>
      </w:pPr>
      <w:r>
        <w:t>Anrufer: Marianne Albers.</w:t>
      </w:r>
    </w:p>
    <w:p>
      <w:pPr>
        <w:jc w:val="left"/>
      </w:pPr>
      <w:r>
        <w:t>Dauer: 11 Min.</w:t>
      </w:r>
    </w:p>
    <w:p>
      <w:pPr>
        <w:jc w:val="left"/>
      </w:pPr>
      <w:r>
        <w:t xml:space="preserve">Frau Albers berichtet, gestern Abend (21.05.) gegen 21:50 Uhr seien zwei Bauarbeiter über ihr Grundstück gelaufen, mit Materialkarren. Sie habe gefragt, was das solle. Antwort sinngemäß: „Herr Kessler hat gesagt, das ist hier ein Notweg." Frau Albers hat ein Foto vom Karren gemacht (im Ordner </w:t>
      </w:r>
      <w:r>
        <w:t>04_fotodokumentation_…</w:t>
      </w:r>
      <w:r>
        <w:t>).</w:t>
      </w:r>
    </w:p>
    <w:p>
      <w:pPr>
        <w:jc w:val="left"/>
      </w:pPr>
      <w:r>
        <w:t>Hinweis Welling: Notwegerecht aus §§ 917, 918 BGB ist hier nicht erkennbar. Sofortmaßnahme empfohlen: schriftlicher Hinweis an Kessler mit Verbot des Betretens, sowie Hinweis auf Hausrecht und ggf. Hausfriedensbruch (§ 123 StGB). Mandantin soll keine Tätlichkeiten provozieren.</w:t>
      </w:r>
    </w:p>
    <w:p>
      <w:pPr>
        <w:pStyle w:val="Heading2"/>
      </w:pPr>
      <w:r>
        <w:rPr>
          <w:rFonts w:ascii="Times New Roman" w:hAnsi="Times New Roman"/>
        </w:rPr>
        <w:t>04.11.2025, 11:30 Uhr — Kollegin Dr. Bremer</w:t>
      </w:r>
    </w:p>
    <w:p>
      <w:pPr>
        <w:jc w:val="left"/>
      </w:pPr>
      <w:r>
        <w:t>Anrufer: Dr. Friederike Bremer, Kanzlei Bremer &amp; Hellfeld.</w:t>
      </w:r>
    </w:p>
    <w:p>
      <w:pPr>
        <w:jc w:val="left"/>
      </w:pPr>
      <w:r>
        <w:t>Gesprächspartner: RAin Welling.</w:t>
      </w:r>
    </w:p>
    <w:p>
      <w:pPr>
        <w:jc w:val="left"/>
      </w:pPr>
      <w:r>
        <w:t>Dauer: 22 Min.</w:t>
      </w:r>
    </w:p>
    <w:p>
      <w:pPr>
        <w:jc w:val="left"/>
      </w:pPr>
      <w:r>
        <w:t>Dr. Bremer meldet sich erstmalig im Mandat Kessler. Sie kündigt schriftliche Stellungnahme „in den nächsten 14 Tagen" an. Sie sagt, ihr Mandant lehne eine außergerichtliche Vermessung ab und sehe „keinen Anlass für Zugeständnisse". Auf den Vorschlag eines Mediationsgesprächs reagiert sie höflich, aber ohne Zusage: „Ich werde es mit meinem Mandanten besprechen."</w:t>
      </w:r>
    </w:p>
    <w:p>
      <w:pPr>
        <w:jc w:val="left"/>
      </w:pPr>
      <w:r>
        <w:t>Welling notiert: Bremer professionell, harter Stil. Vergleichsbereitschaft Kessler im Moment nicht erkennbar.</w:t>
      </w:r>
    </w:p>
    <w:p>
      <w:pPr>
        <w:pStyle w:val="Heading2"/>
      </w:pPr>
      <w:r>
        <w:rPr>
          <w:rFonts w:ascii="Times New Roman" w:hAnsi="Times New Roman"/>
        </w:rPr>
        <w:t>19.03.2026, 09:14 Uhr — Vermesserin Krause-Reichel</w:t>
      </w:r>
    </w:p>
    <w:p>
      <w:pPr>
        <w:jc w:val="left"/>
      </w:pPr>
      <w:r>
        <w:t>Anrufer: Henrike Krause-Reichel, Vermessungsbüro Krause+Reichel.</w:t>
      </w:r>
    </w:p>
    <w:p>
      <w:pPr>
        <w:jc w:val="left"/>
      </w:pPr>
      <w:r>
        <w:t>Dauer: 7 Min.</w:t>
      </w:r>
    </w:p>
    <w:p>
      <w:pPr>
        <w:jc w:val="left"/>
      </w:pPr>
      <w:r>
        <w:t>Ergebnis der Vermessung vom 18.03.2026: Der Carport ragt südseitig 19,0 cm und nordseitig 23,0 cm auf Albers-Grundstück. Schriftlicher Bericht VB-2026-0317 folgt diese Woche. Frau Krause-Reichel hat den Pflock-Stand mit Kessler nicht abgestimmt — er sei beim Termin nicht erschienen, obwohl er per Einschreiben geladen wurde.</w:t>
      </w:r>
    </w:p>
    <w:p>
      <w:pPr>
        <w:jc w:val="left"/>
      </w:pPr>
      <w:r>
        <w:t>Welling: Wichtig für Beweissicherung, dass die Ladung von Kessler dokumentiert ist (Einschreibe-Beleg liegt im Mandatsordner unter ZU-2026-031-Kr).</w:t>
      </w:r>
    </w:p>
    <w:p>
      <w:pPr>
        <w:pStyle w:val="Heading2"/>
      </w:pPr>
      <w:r>
        <w:rPr>
          <w:rFonts w:ascii="Times New Roman" w:hAnsi="Times New Roman"/>
        </w:rPr>
        <w:t>21.05.2026, 13:55 Uhr — Anfrage Mediation</w:t>
      </w:r>
    </w:p>
    <w:p>
      <w:pPr>
        <w:jc w:val="left"/>
      </w:pPr>
      <w:r>
        <w:t>Anrufer: Dr. Bremer.</w:t>
      </w:r>
    </w:p>
    <w:p>
      <w:pPr>
        <w:jc w:val="left"/>
      </w:pPr>
      <w:r>
        <w:t>Dauer: 9 Min.</w:t>
      </w:r>
    </w:p>
    <w:p>
      <w:pPr>
        <w:jc w:val="left"/>
      </w:pPr>
      <w:r>
        <w:t>Bremer fragt sehr vorsichtig, ob Albers bereit wäre, „über einen schlanken Vergleich zu reden, bevor das Verfahren teuer wird". Sie nennt keine Konditionen, möchte aber den Vergleichsentwurf der Albers-Seite sehen. Welling sagt zu, ihn nach Rücksprache mit der Mandantschaft zu übersenden.</w:t>
      </w:r>
    </w:p>
    <w:p>
      <w:pPr>
        <w:jc w:val="left"/>
      </w:pPr>
      <w:r>
        <w:t xml:space="preserve">Folge: Vergleichsentwurf liegt im Aktenstück </w:t>
      </w:r>
      <w:r>
        <w:t>12_vergleichsentwurf_rosengartenfrieden.md</w:t>
      </w:r>
      <w:r>
        <w:t>. Versand an Bremer am 26.05.2026.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17.04.2025</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17.04.2025</w:t>
    </w:r>
  </w:p>
  <w:p>
    <w:pPr>
      <w:jc w:val="left"/>
      <w:pBdr>
        <w:bottom w:val="single" w:sz="6" w:space="2" w:color="3B3F45"/>
      </w:pBdr>
    </w:pPr>
    <w:r>
      <w:rPr>
        <w:rFonts w:ascii="Times New Roman" w:hAnsi="Times New Roman"/>
        <w:color w:val="6B6B66"/>
        <w:sz w:val="16"/>
      </w:rPr>
      <w:t>10:45 Uhr — Bauamt Köln Rückruf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