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Cybertrading-Warnliste für Mandant Windsysteme</w:t>
      </w:r>
    </w:p>
    <w:p>
      <w:pPr>
        <w:jc w:val="left"/>
      </w:pPr>
      <w:r>
        <w:rPr>
          <w:b/>
        </w:rPr>
        <w:t>AZ:</w:t>
      </w:r>
      <w:r>
        <w:t xml:space="preserve"> MR-2026-1118</w:t>
      </w:r>
    </w:p>
    <w:p>
      <w:pPr>
        <w:jc w:val="left"/>
      </w:pPr>
      <w:r>
        <w:rPr>
          <w:b/>
        </w:rPr>
        <w:t>Vertraulich — Nur für interne Verwendung Windsysteme Norderhof AG</w:t>
      </w:r>
    </w:p>
    <w:p>
      <w:pPr>
        <w:jc w:val="left"/>
      </w:pPr>
      <w:r>
        <w:rPr>
          <w:b/>
        </w:rPr>
        <w:t>Datum:</w:t>
      </w:r>
      <w:r>
        <w:t xml:space="preserve"> 19. Februar 2026</w:t>
      </w:r>
    </w:p>
    <w:p>
      <w:pPr>
        <w:jc w:val="left"/>
      </w:pPr>
      <w:r>
        <w:rPr>
          <w:b/>
        </w:rPr>
        <w:t>Verfasser:</w:t>
      </w:r>
      <w:r>
        <w:t xml:space="preserve"> RA Dr. Mark Roosendaal, basierend auf IT-Security-Recherchen der Kanzlei</w:t>
      </w:r>
    </w:p>
    <w:p/>
    <w:p>
      <w:pPr>
        <w:pStyle w:val="Heading2"/>
      </w:pPr>
      <w:r>
        <w:rPr>
          <w:rFonts w:ascii="Times New Roman" w:hAnsi="Times New Roman"/>
        </w:rPr>
        <w:t>1. Hintergrund</w:t>
      </w:r>
    </w:p>
    <w:p>
      <w:pPr>
        <w:jc w:val="left"/>
      </w:pPr>
      <w:r>
        <w:t>Im Zuge der Due-Diligence zu Eickmann Wirtschaftspartner Pte. Ltd. erhielt die Kanzlei Schwingenstein und Partner Hinweise aus dem IT-Umfeld, dass eine Beteiligung von Eickmann — die Eickmann Trading DMCC (Dubai) — in der Vergangenheit in Cybertrading-Vorgänge involviert sein soll. Die Hinweise stammen aus zwei unabhängigen Quellen:</w:t>
      </w:r>
    </w:p>
    <w:p>
      <w:pPr>
        <w:pStyle w:val="ListNumber"/>
      </w:pPr>
      <w:r>
        <w:t>OSINT-Recherche durch die von Kanzlei beauftragte IT-Security-Firma Kronfeld Digital GmbH, Hamburg.</w:t>
      </w:r>
    </w:p>
    <w:p>
      <w:pPr>
        <w:pStyle w:val="ListNumber"/>
      </w:pPr>
      <w:r>
        <w:t>Informeller Hinweis eines früheren Eickmann-Angestellten (anonym, nur intern verwertbar).</w:t>
      </w:r>
    </w:p>
    <w:p/>
    <w:p>
      <w:pPr>
        <w:pStyle w:val="Heading2"/>
      </w:pPr>
      <w:r>
        <w:rPr>
          <w:rFonts w:ascii="Times New Roman" w:hAnsi="Times New Roman"/>
        </w:rPr>
        <w:t>2. Definition: Cybertrading im vorliegenden Kontext</w:t>
      </w:r>
    </w:p>
    <w:p>
      <w:pPr>
        <w:jc w:val="left"/>
      </w:pPr>
      <w:r>
        <w:t>Mit „Cybertrading" wird hier der Handel mit gestohlenen oder rechtswidrig erlangten Unternehmensdaten, Software-Lizenzen, IT-Zugangsdaten sowie das Anbieten von Hacker-as-a-Service-Leistungen auf Dark-Web-Plattformen bezeichnet.</w:t>
      </w:r>
    </w:p>
    <w:p>
      <w:pPr>
        <w:jc w:val="left"/>
      </w:pPr>
      <w:r>
        <w:rPr>
          <w:b/>
        </w:rPr>
        <w:t>Abgrenzung:</w:t>
      </w:r>
      <w:r>
        <w:t xml:space="preserve"> Cybertrading ist kein definierter gesetzlicher Begriff. Der Vorwurf ist hier unbestätigt und beruht auf Hinweisen, nicht auf Beweisen.</w:t>
      </w:r>
    </w:p>
    <w:p/>
    <w:p>
      <w:pPr>
        <w:pStyle w:val="Heading2"/>
      </w:pPr>
      <w:r>
        <w:rPr>
          <w:rFonts w:ascii="Times New Roman" w:hAnsi="Times New Roman"/>
        </w:rPr>
        <w:t>3. Konkrete Hinweise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Hinweis</w:t>
            </w:r>
          </w:p>
        </w:tc>
        <w:tc>
          <w:tcPr>
            <w:tcW w:type="dxa" w:w="2268"/>
          </w:tcPr>
          <w:p>
            <w:r>
              <w:rPr>
                <w:rFonts w:ascii="Times New Roman" w:hAnsi="Times New Roman"/>
                <w:b/>
                <w:sz w:val="20"/>
              </w:rPr>
              <w:t>Quelle</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H1</w:t>
            </w:r>
          </w:p>
        </w:tc>
        <w:tc>
          <w:tcPr>
            <w:tcW w:type="dxa" w:w="2268"/>
          </w:tcPr>
          <w:p>
            <w:r>
              <w:rPr>
                <w:rFonts w:ascii="Times New Roman" w:hAnsi="Times New Roman"/>
                <w:sz w:val="20"/>
              </w:rPr>
              <w:t>Eickmann Trading DMCC soll 2023 Zugangsdaten eines deutschen Maschinenbauers angeboten haben</w:t>
            </w:r>
          </w:p>
        </w:tc>
        <w:tc>
          <w:tcPr>
            <w:tcW w:type="dxa" w:w="2268"/>
          </w:tcPr>
          <w:p>
            <w:r>
              <w:rPr>
                <w:rFonts w:ascii="Times New Roman" w:hAnsi="Times New Roman"/>
                <w:sz w:val="20"/>
              </w:rPr>
              <w:t>OSINT Kronfeld Digital</w:t>
            </w:r>
          </w:p>
        </w:tc>
        <w:tc>
          <w:tcPr>
            <w:tcW w:type="dxa" w:w="2268"/>
          </w:tcPr>
          <w:p>
            <w:r>
              <w:rPr>
                <w:rFonts w:ascii="Times New Roman" w:hAnsi="Times New Roman"/>
                <w:sz w:val="20"/>
              </w:rPr>
              <w:t>Unbestätigt; Ermittlungsansatz</w:t>
            </w:r>
          </w:p>
        </w:tc>
      </w:tr>
      <w:tr>
        <w:tc>
          <w:tcPr>
            <w:tcW w:type="dxa" w:w="2268"/>
          </w:tcPr>
          <w:p>
            <w:r>
              <w:rPr>
                <w:rFonts w:ascii="Times New Roman" w:hAnsi="Times New Roman"/>
                <w:sz w:val="20"/>
              </w:rPr>
              <w:t>H2</w:t>
            </w:r>
          </w:p>
        </w:tc>
        <w:tc>
          <w:tcPr>
            <w:tcW w:type="dxa" w:w="2268"/>
          </w:tcPr>
          <w:p>
            <w:r>
              <w:rPr>
                <w:rFonts w:ascii="Times New Roman" w:hAnsi="Times New Roman"/>
                <w:sz w:val="20"/>
              </w:rPr>
              <w:t>IP-Adressblock der Eickmann Trading DMCC ist in Threat-Intelligence-Datenbank (Recorded Future) als C2-Infrastruktur gelistet (Stand: Dez. 2024)</w:t>
            </w:r>
          </w:p>
        </w:tc>
        <w:tc>
          <w:tcPr>
            <w:tcW w:type="dxa" w:w="2268"/>
          </w:tcPr>
          <w:p>
            <w:r>
              <w:rPr>
                <w:rFonts w:ascii="Times New Roman" w:hAnsi="Times New Roman"/>
                <w:sz w:val="20"/>
              </w:rPr>
              <w:t>Kronfeld Digital</w:t>
            </w:r>
          </w:p>
        </w:tc>
        <w:tc>
          <w:tcPr>
            <w:tcW w:type="dxa" w:w="2268"/>
          </w:tcPr>
          <w:p>
            <w:r>
              <w:rPr>
                <w:rFonts w:ascii="Times New Roman" w:hAnsi="Times New Roman"/>
                <w:sz w:val="20"/>
              </w:rPr>
              <w:t>Hinweis; kein Beweis; Datenbank-Einträge können veraltet sein</w:t>
            </w:r>
          </w:p>
        </w:tc>
      </w:tr>
      <w:tr>
        <w:tc>
          <w:tcPr>
            <w:tcW w:type="dxa" w:w="2268"/>
          </w:tcPr>
          <w:p>
            <w:r>
              <w:rPr>
                <w:rFonts w:ascii="Times New Roman" w:hAnsi="Times New Roman"/>
                <w:sz w:val="20"/>
              </w:rPr>
              <w:t>H3</w:t>
            </w:r>
          </w:p>
        </w:tc>
        <w:tc>
          <w:tcPr>
            <w:tcW w:type="dxa" w:w="2268"/>
          </w:tcPr>
          <w:p>
            <w:r>
              <w:rPr>
                <w:rFonts w:ascii="Times New Roman" w:hAnsi="Times New Roman"/>
                <w:sz w:val="20"/>
              </w:rPr>
              <w:t>Ehemaliger Mitarbeiter berichtet von internen Diskussionen über „Datenverwertung außerhalb regulärer Kanäle"</w:t>
            </w:r>
          </w:p>
        </w:tc>
        <w:tc>
          <w:tcPr>
            <w:tcW w:type="dxa" w:w="2268"/>
          </w:tcPr>
          <w:p>
            <w:r>
              <w:rPr>
                <w:rFonts w:ascii="Times New Roman" w:hAnsi="Times New Roman"/>
                <w:sz w:val="20"/>
              </w:rPr>
              <w:t>Anonym</w:t>
            </w:r>
          </w:p>
        </w:tc>
        <w:tc>
          <w:tcPr>
            <w:tcW w:type="dxa" w:w="2268"/>
          </w:tcPr>
          <w:p>
            <w:r>
              <w:rPr>
                <w:rFonts w:ascii="Times New Roman" w:hAnsi="Times New Roman"/>
                <w:sz w:val="20"/>
              </w:rPr>
              <w:t>Nicht verwertbar; nur als Hintergrundinformation</w:t>
            </w:r>
          </w:p>
        </w:tc>
      </w:tr>
    </w:tbl>
    <w:p/>
    <w:p>
      <w:pPr>
        <w:pStyle w:val="Heading2"/>
      </w:pPr>
      <w:r>
        <w:rPr>
          <w:rFonts w:ascii="Times New Roman" w:hAnsi="Times New Roman"/>
        </w:rPr>
        <w:t>4. Rechtliche Würdigung</w:t>
      </w:r>
    </w:p>
    <w:p>
      <w:pPr>
        <w:jc w:val="left"/>
      </w:pPr>
      <w:r>
        <w:t>Die vorliegenden Hinweise reichen nicht aus für:</w:t>
      </w:r>
    </w:p>
    <w:p>
      <w:pPr>
        <w:pStyle w:val="ListBullet"/>
      </w:pPr>
      <w:r>
        <w:t>Eine Strafanzeige gegen Eickmann (§ 202a ff. StGB, BDSG).</w:t>
      </w:r>
    </w:p>
    <w:p>
      <w:pPr>
        <w:pStyle w:val="ListBullet"/>
      </w:pPr>
      <w:r>
        <w:t>Eine Kündigung des NDA oder den Abbruch der Verhandlungen ohne weitere Prüfung.</w:t>
      </w:r>
    </w:p>
    <w:p>
      <w:pPr>
        <w:jc w:val="left"/>
      </w:pPr>
      <w:r>
        <w:t>Die Hinweise rechtfertigen jedoch:</w:t>
      </w:r>
    </w:p>
    <w:p>
      <w:pPr>
        <w:pStyle w:val="ListBullet"/>
      </w:pPr>
      <w:r>
        <w:t>Ein formelles IT-Security-Audit von Eickmanns IT-Infrastruktur als Bedingung für den Datenaustausch.</w:t>
      </w:r>
    </w:p>
    <w:p>
      <w:pPr>
        <w:pStyle w:val="ListBullet"/>
      </w:pPr>
      <w:r>
        <w:t>Die Aufnahme einer Cybersecurity-Klausel in den JV-Hauptvertrag.</w:t>
      </w:r>
    </w:p>
    <w:p>
      <w:pPr>
        <w:pStyle w:val="ListBullet"/>
      </w:pPr>
      <w:r>
        <w:t>Vorläufige Einschränkung des Informationsaustauschs auf nicht-kritische Kategorien.</w:t>
      </w:r>
    </w:p>
    <w:p/>
    <w:p>
      <w:pPr>
        <w:pStyle w:val="Heading2"/>
      </w:pPr>
      <w:r>
        <w:rPr>
          <w:rFonts w:ascii="Times New Roman" w:hAnsi="Times New Roman"/>
        </w:rPr>
        <w:t>5. Empfehlungen für Windsysteme</w:t>
      </w:r>
    </w:p>
    <w:p>
      <w:pPr>
        <w:jc w:val="left"/>
      </w:pPr>
      <w:r>
        <w:rPr>
          <w:b/>
        </w:rPr>
        <w:t>Sofortmaßnahmen:</w:t>
      </w:r>
    </w:p>
    <w:p>
      <w:pPr>
        <w:pStyle w:val="ListBullet"/>
      </w:pPr>
      <w:r>
        <w:t>Kein Transfer von CAD-Daten (WN-7000, WN-9500) vor Abschluss des IT-Security-Audits.</w:t>
      </w:r>
    </w:p>
    <w:p>
      <w:pPr>
        <w:pStyle w:val="ListBullet"/>
      </w:pPr>
      <w:r>
        <w:t>Einsatz eines Secure-Room-Verfahrens für kritische Daten (virtueller Datenraum mit Lesezugang ohne Download-Möglichkeit).</w:t>
      </w:r>
    </w:p>
    <w:p>
      <w:pPr>
        <w:pStyle w:val="ListBullet"/>
      </w:pPr>
      <w:r>
        <w:t>Verpflichtung Eickmanns zur Vorlage eines aktuellen ISO-27001-Zertifikats oder vergleichbaren IT-Security-Nachweises.</w:t>
      </w:r>
    </w:p>
    <w:p>
      <w:pPr>
        <w:jc w:val="left"/>
      </w:pPr>
      <w:r>
        <w:rPr>
          <w:b/>
        </w:rPr>
        <w:t>Mittelfristig:</w:t>
      </w:r>
    </w:p>
    <w:p>
      <w:pPr>
        <w:pStyle w:val="ListBullet"/>
      </w:pPr>
      <w:r>
        <w:t>IT-Security-Klausel in JV-Hauptvertrag: regelmäßige Penetrationstests, Incident-Response-Protokoll.</w:t>
      </w:r>
    </w:p>
    <w:p>
      <w:pPr>
        <w:pStyle w:val="ListBullet"/>
      </w:pPr>
      <w:r>
        <w:t>Threat-Intelligence-Monitoring für Eickmann-Umfeld für Dauer der Zusammenarbeit.</w:t>
      </w:r>
    </w:p>
    <w:p/>
    <w:p>
      <w:pPr>
        <w:pStyle w:val="Heading2"/>
      </w:pPr>
      <w:r>
        <w:rPr>
          <w:rFonts w:ascii="Times New Roman" w:hAnsi="Times New Roman"/>
        </w:rPr>
        <w:t>6. Vertraulichkeitshinweis</w:t>
      </w:r>
    </w:p>
    <w:p>
      <w:pPr>
        <w:jc w:val="left"/>
      </w:pPr>
      <w:r>
        <w:t>Dieser Bericht ist ausschließlich für den internen Gebrauch von Windsysteme Norderhof AG und der Kanzlei Schwingenstein und Partner bestimmt. Eine Weitergabe an Eickmann oder Dritte ist nicht gestattet. Der Bericht begründet keine Ansprüche oder Handlungspflichten ohne ergänzende Beweise.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Verwendung Windsysteme Norderhof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Verwendung Windsysteme Norderhof AG</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