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BRENNECKE · WENSTEDT RECHTSANWÄLTE</w:t>
            </w:r>
          </w:p>
          <w:p>
            <w:pPr>
              <w:spacing w:after="0"/>
            </w:pPr>
            <w:r>
              <w:rPr>
                <w:color w:val="59636B"/>
                <w:sz w:val="16"/>
              </w:rPr>
              <w:t>Kaiserswerther Straße 183 · 40474 Düsseldorf · Telefon 0211 879 14 0 · cyber@bw-recht.de</w:t>
            </w:r>
          </w:p>
          <w:p>
            <w:pPr>
              <w:spacing w:after="0"/>
            </w:pPr>
            <w:r>
              <w:rPr>
                <w:color w:val="59636B"/>
                <w:sz w:val="16"/>
              </w:rPr>
              <w:t>Partnerschaftsregister AG Essen PR 5207 · Berufshaftpflicht Rheinland Versicherung AG</w:t>
            </w:r>
          </w:p>
        </w:tc>
        <w:tc>
          <w:tcPr>
            <w:tcW w:type="dxa" w:w="4790"/>
            <w:tcMar>
              <w:top w:w="0" w:type="dxa"/>
              <w:start w:w="80" w:type="dxa"/>
              <w:bottom w:w="80" w:type="dxa"/>
              <w:end w:w="0" w:type="dxa"/>
            </w:tcMar>
          </w:tcPr>
          <w:p>
            <w:pPr>
              <w:jc w:val="right"/>
            </w:pPr>
            <w:r>
              <w:rPr>
                <w:b/>
                <w:color w:val="2E668B"/>
                <w:sz w:val="18"/>
              </w:rPr>
              <w:t>GESPRÄCHSLEITFADEN</w:t>
            </w:r>
          </w:p>
        </w:tc>
      </w:tr>
    </w:tbl>
    <w:p>
      <w:pPr>
        <w:spacing w:after="160"/>
        <w:pBdr>
          <w:bottom w:val="single" w:sz="10" w:space="1" w:color="2E668B"/>
        </w:pBdr>
      </w:pPr>
    </w:p>
    <w:p>
      <w:pPr>
        <w:pStyle w:val="Title"/>
      </w:pPr>
      <w:r>
        <w:t>Erstgespräch mit CISO, Recht und IT Operations</w:t>
      </w:r>
    </w:p>
    <w:p>
      <w:pPr>
        <w:spacing w:after="180"/>
      </w:pPr>
      <w:r>
        <w:rPr>
          <w:b/>
          <w:color w:val="2E668B"/>
        </w:rPr>
        <w:t>Lahnwerke Maschinenbau AG · 26. Mai 2026, 09:15 Uhr</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Gesprächsleitung</w:t>
            </w:r>
          </w:p>
        </w:tc>
        <w:tc>
          <w:tcPr>
            <w:tcW w:type="dxa" w:w="7200"/>
            <w:tcMar>
              <w:top w:w="90" w:type="dxa"/>
              <w:start w:w="90" w:type="dxa"/>
              <w:bottom w:w="90" w:type="dxa"/>
              <w:end w:w="90" w:type="dxa"/>
            </w:tcMar>
            <w:vAlign w:val="center"/>
          </w:tcPr>
          <w:p>
            <w:pPr>
              <w:spacing w:after="0"/>
            </w:pPr>
            <w:r>
              <w:rPr>
                <w:sz w:val="18"/>
              </w:rPr>
              <w:t>Dr. Henning Brennecke</w:t>
            </w:r>
          </w:p>
        </w:tc>
      </w:tr>
      <w:tr>
        <w:tc>
          <w:tcPr>
            <w:tcW w:type="dxa" w:w="2268"/>
            <w:shd w:fill="EAF1F5"/>
            <w:tcMar>
              <w:top w:w="90" w:type="dxa"/>
              <w:start w:w="90" w:type="dxa"/>
              <w:bottom w:w="90" w:type="dxa"/>
              <w:end w:w="90" w:type="dxa"/>
            </w:tcMar>
            <w:vAlign w:val="center"/>
          </w:tcPr>
          <w:p>
            <w:pPr>
              <w:spacing w:after="0"/>
            </w:pPr>
            <w:r>
              <w:rPr>
                <w:b/>
                <w:sz w:val="18"/>
              </w:rPr>
              <w:t>Protokoll</w:t>
            </w:r>
          </w:p>
        </w:tc>
        <w:tc>
          <w:tcPr>
            <w:tcW w:type="dxa" w:w="7200"/>
            <w:tcMar>
              <w:top w:w="90" w:type="dxa"/>
              <w:start w:w="90" w:type="dxa"/>
              <w:bottom w:w="90" w:type="dxa"/>
              <w:end w:w="90" w:type="dxa"/>
            </w:tcMar>
            <w:vAlign w:val="center"/>
          </w:tcPr>
          <w:p>
            <w:pPr>
              <w:spacing w:after="0"/>
            </w:pPr>
            <w:r>
              <w:rPr>
                <w:sz w:val="18"/>
              </w:rPr>
              <w:t>Lisa Wenstedt</w:t>
            </w:r>
          </w:p>
        </w:tc>
      </w:tr>
      <w:tr>
        <w:tc>
          <w:tcPr>
            <w:tcW w:type="dxa" w:w="2268"/>
            <w:shd w:fill="EAF1F5"/>
            <w:tcMar>
              <w:top w:w="90" w:type="dxa"/>
              <w:start w:w="90" w:type="dxa"/>
              <w:bottom w:w="90" w:type="dxa"/>
              <w:end w:w="90" w:type="dxa"/>
            </w:tcMar>
            <w:vAlign w:val="center"/>
          </w:tcPr>
          <w:p>
            <w:pPr>
              <w:spacing w:after="0"/>
            </w:pPr>
            <w:r>
              <w:rPr>
                <w:b/>
                <w:sz w:val="18"/>
              </w:rPr>
              <w:t>Teilnehmer Mandantin</w:t>
            </w:r>
          </w:p>
        </w:tc>
        <w:tc>
          <w:tcPr>
            <w:tcW w:type="dxa" w:w="7200"/>
            <w:tcMar>
              <w:top w:w="90" w:type="dxa"/>
              <w:start w:w="90" w:type="dxa"/>
              <w:bottom w:w="90" w:type="dxa"/>
              <w:end w:w="90" w:type="dxa"/>
            </w:tcMar>
            <w:vAlign w:val="center"/>
          </w:tcPr>
          <w:p>
            <w:pPr>
              <w:spacing w:after="0"/>
            </w:pPr>
            <w:r>
              <w:rPr>
                <w:sz w:val="18"/>
              </w:rPr>
              <w:t>Marlene Seifert, Dr. Clara Lehnert, Robin Mertens</w:t>
            </w:r>
          </w:p>
        </w:tc>
      </w:tr>
      <w:tr>
        <w:tc>
          <w:tcPr>
            <w:tcW w:type="dxa" w:w="2268"/>
            <w:shd w:fill="EAF1F5"/>
            <w:tcMar>
              <w:top w:w="90" w:type="dxa"/>
              <w:start w:w="90" w:type="dxa"/>
              <w:bottom w:w="90" w:type="dxa"/>
              <w:end w:w="90" w:type="dxa"/>
            </w:tcMar>
            <w:vAlign w:val="center"/>
          </w:tcPr>
          <w:p>
            <w:pPr>
              <w:spacing w:after="0"/>
            </w:pPr>
            <w:r>
              <w:rPr>
                <w:b/>
                <w:sz w:val="18"/>
              </w:rPr>
              <w:t>Ziel</w:t>
            </w:r>
          </w:p>
        </w:tc>
        <w:tc>
          <w:tcPr>
            <w:tcW w:type="dxa" w:w="7200"/>
            <w:tcMar>
              <w:top w:w="90" w:type="dxa"/>
              <w:start w:w="90" w:type="dxa"/>
              <w:bottom w:w="90" w:type="dxa"/>
              <w:end w:w="90" w:type="dxa"/>
            </w:tcMar>
            <w:vAlign w:val="center"/>
          </w:tcPr>
          <w:p>
            <w:pPr>
              <w:spacing w:after="0"/>
            </w:pPr>
            <w:r>
              <w:rPr>
                <w:sz w:val="18"/>
              </w:rPr>
              <w:t>Entscheidungsbedarf, Belege, technische Grenzen und verantwortliche Auskunftsträger festlegen</w:t>
            </w:r>
          </w:p>
        </w:tc>
      </w:tr>
    </w:tbl>
    <w:p>
      <w:pPr>
        <w:spacing w:after="20"/>
      </w:pPr>
    </w:p>
    <w:p>
      <w:pPr>
        <w:pStyle w:val="Heading1"/>
      </w:pPr>
      <w:r>
        <w:t>1. Unternehmens- und Systemgrenze</w:t>
      </w:r>
    </w:p>
    <w:tbl>
      <w:tblPr>
        <w:tblStyle w:val="TableGrid"/>
        <w:tblW w:type="auto" w:w="0"/>
        <w:tblLayout w:type="fixed"/>
        <w:tblLook w:firstColumn="1" w:firstRow="1" w:lastColumn="0" w:lastRow="0" w:noHBand="0" w:noVBand="1" w:val="04A0"/>
      </w:tblPr>
      <w:tblGrid>
        <w:gridCol w:w="3515"/>
        <w:gridCol w:w="3515"/>
        <w:gridCol w:w="2438"/>
      </w:tblGrid>
      <w:tr>
        <w:tc>
          <w:tcPr>
            <w:tcW w:type="dxa" w:w="3194"/>
            <w:shd w:fill="17324D"/>
            <w:tcMar>
              <w:top w:w="90" w:type="dxa"/>
              <w:start w:w="90" w:type="dxa"/>
              <w:bottom w:w="90" w:type="dxa"/>
              <w:end w:w="90" w:type="dxa"/>
            </w:tcMar>
          </w:tcPr>
          <w:p>
            <w:r>
              <w:rPr>
                <w:b/>
                <w:color w:val="FFFFFF"/>
                <w:sz w:val="17"/>
              </w:rPr>
              <w:t>Frage</w:t>
            </w:r>
          </w:p>
        </w:tc>
        <w:tc>
          <w:tcPr>
            <w:tcW w:type="dxa" w:w="3194"/>
            <w:shd w:fill="17324D"/>
            <w:tcMar>
              <w:top w:w="90" w:type="dxa"/>
              <w:start w:w="90" w:type="dxa"/>
              <w:bottom w:w="90" w:type="dxa"/>
              <w:end w:w="90" w:type="dxa"/>
            </w:tcMar>
          </w:tcPr>
          <w:p>
            <w:r>
              <w:rPr>
                <w:b/>
                <w:color w:val="FFFFFF"/>
                <w:sz w:val="17"/>
              </w:rPr>
              <w:t>Warum sie jetzt geklärt werden muss</w:t>
            </w:r>
          </w:p>
        </w:tc>
        <w:tc>
          <w:tcPr>
            <w:tcW w:type="dxa" w:w="3194"/>
            <w:shd w:fill="17324D"/>
            <w:tcMar>
              <w:top w:w="90" w:type="dxa"/>
              <w:start w:w="90" w:type="dxa"/>
              <w:bottom w:w="90" w:type="dxa"/>
              <w:end w:w="90" w:type="dxa"/>
            </w:tcMar>
          </w:tcPr>
          <w:p>
            <w:r>
              <w:rPr>
                <w:b/>
                <w:color w:val="FFFFFF"/>
                <w:sz w:val="17"/>
              </w:rPr>
              <w:t>Erwarteter Beleg</w:t>
            </w:r>
          </w:p>
        </w:tc>
      </w:tr>
      <w:tr>
        <w:tc>
          <w:tcPr>
            <w:tcW w:type="dxa" w:w="3515"/>
            <w:tcMar>
              <w:top w:w="90" w:type="dxa"/>
              <w:start w:w="90" w:type="dxa"/>
              <w:bottom w:w="90" w:type="dxa"/>
              <w:end w:w="90" w:type="dxa"/>
            </w:tcMar>
            <w:vAlign w:val="top"/>
          </w:tcPr>
          <w:p>
            <w:pPr>
              <w:spacing w:after="0"/>
            </w:pPr>
            <w:r>
              <w:rPr>
                <w:sz w:val="16"/>
              </w:rPr>
              <w:t>Welche Rechtsträger, Standorte und Dienste gehören zum betrachteten Betrieb?</w:t>
            </w:r>
          </w:p>
        </w:tc>
        <w:tc>
          <w:tcPr>
            <w:tcW w:type="dxa" w:w="3515"/>
            <w:tcMar>
              <w:top w:w="90" w:type="dxa"/>
              <w:start w:w="90" w:type="dxa"/>
              <w:bottom w:w="90" w:type="dxa"/>
              <w:end w:w="90" w:type="dxa"/>
            </w:tcMar>
            <w:vAlign w:val="top"/>
          </w:tcPr>
          <w:p>
            <w:pPr>
              <w:spacing w:after="0"/>
            </w:pPr>
            <w:r>
              <w:rPr>
                <w:sz w:val="16"/>
              </w:rPr>
              <w:t>Pflichten und technische Maßnahmen dürfen nicht auf eine unklare Konzernfläche bezogen werden.</w:t>
            </w:r>
          </w:p>
        </w:tc>
        <w:tc>
          <w:tcPr>
            <w:tcW w:type="dxa" w:w="2438"/>
            <w:tcMar>
              <w:top w:w="90" w:type="dxa"/>
              <w:start w:w="90" w:type="dxa"/>
              <w:bottom w:w="90" w:type="dxa"/>
              <w:end w:w="90" w:type="dxa"/>
            </w:tcMar>
            <w:vAlign w:val="top"/>
          </w:tcPr>
          <w:p>
            <w:pPr>
              <w:spacing w:after="0"/>
            </w:pPr>
            <w:r>
              <w:rPr>
                <w:sz w:val="16"/>
              </w:rPr>
              <w:t>Organigramm, Registerdaten, Standort- und Dienstekatalog</w:t>
            </w:r>
          </w:p>
        </w:tc>
      </w:tr>
      <w:tr>
        <w:tc>
          <w:tcPr>
            <w:tcW w:type="dxa" w:w="3515"/>
            <w:tcMar>
              <w:top w:w="90" w:type="dxa"/>
              <w:start w:w="90" w:type="dxa"/>
              <w:bottom w:w="90" w:type="dxa"/>
              <w:end w:w="90" w:type="dxa"/>
            </w:tcMar>
            <w:vAlign w:val="top"/>
            <w:shd w:fill="F5F7F8"/>
          </w:tcPr>
          <w:p>
            <w:pPr>
              <w:spacing w:after="0"/>
            </w:pPr>
            <w:r>
              <w:rPr>
                <w:sz w:val="16"/>
              </w:rPr>
              <w:t>Welche Produktions-, ERP-, Cloud- und Fernwartungssysteme sind für den Betrieb wesentlich?</w:t>
            </w:r>
          </w:p>
        </w:tc>
        <w:tc>
          <w:tcPr>
            <w:tcW w:type="dxa" w:w="3515"/>
            <w:tcMar>
              <w:top w:w="90" w:type="dxa"/>
              <w:start w:w="90" w:type="dxa"/>
              <w:bottom w:w="90" w:type="dxa"/>
              <w:end w:w="90" w:type="dxa"/>
            </w:tcMar>
            <w:vAlign w:val="top"/>
            <w:shd w:fill="F5F7F8"/>
          </w:tcPr>
          <w:p>
            <w:pPr>
              <w:spacing w:after="0"/>
            </w:pPr>
            <w:r>
              <w:rPr>
                <w:sz w:val="16"/>
              </w:rPr>
              <w:t>Wiederanlauf und Vorfallauswirkung benötigen eine konkrete Systemliste.</w:t>
            </w:r>
          </w:p>
        </w:tc>
        <w:tc>
          <w:tcPr>
            <w:tcW w:type="dxa" w:w="2438"/>
            <w:tcMar>
              <w:top w:w="90" w:type="dxa"/>
              <w:start w:w="90" w:type="dxa"/>
              <w:bottom w:w="90" w:type="dxa"/>
              <w:end w:w="90" w:type="dxa"/>
            </w:tcMar>
            <w:vAlign w:val="top"/>
            <w:shd w:fill="F5F7F8"/>
          </w:tcPr>
          <w:p>
            <w:pPr>
              <w:spacing w:after="0"/>
            </w:pPr>
            <w:r>
              <w:rPr>
                <w:sz w:val="16"/>
              </w:rPr>
              <w:t>CMDB, Netzplan, BIA, Servicekatalog</w:t>
            </w:r>
          </w:p>
        </w:tc>
      </w:tr>
      <w:tr>
        <w:tc>
          <w:tcPr>
            <w:tcW w:type="dxa" w:w="3515"/>
            <w:tcMar>
              <w:top w:w="90" w:type="dxa"/>
              <w:start w:w="90" w:type="dxa"/>
              <w:bottom w:w="90" w:type="dxa"/>
              <w:end w:w="90" w:type="dxa"/>
            </w:tcMar>
            <w:vAlign w:val="top"/>
          </w:tcPr>
          <w:p>
            <w:pPr>
              <w:spacing w:after="0"/>
            </w:pPr>
            <w:r>
              <w:rPr>
                <w:sz w:val="16"/>
              </w:rPr>
              <w:t>Welche Kunden- und Lieferantenverträge enthalten Sicherheits- oder Meldefristen?</w:t>
            </w:r>
          </w:p>
        </w:tc>
        <w:tc>
          <w:tcPr>
            <w:tcW w:type="dxa" w:w="3515"/>
            <w:tcMar>
              <w:top w:w="90" w:type="dxa"/>
              <w:start w:w="90" w:type="dxa"/>
              <w:bottom w:w="90" w:type="dxa"/>
              <w:end w:w="90" w:type="dxa"/>
            </w:tcMar>
            <w:vAlign w:val="top"/>
          </w:tcPr>
          <w:p>
            <w:pPr>
              <w:spacing w:after="0"/>
            </w:pPr>
            <w:r>
              <w:rPr>
                <w:sz w:val="16"/>
              </w:rPr>
              <w:t>Vertragliche Fristen können neben gesetzlichen Pflichten laufen.</w:t>
            </w:r>
          </w:p>
        </w:tc>
        <w:tc>
          <w:tcPr>
            <w:tcW w:type="dxa" w:w="2438"/>
            <w:tcMar>
              <w:top w:w="90" w:type="dxa"/>
              <w:start w:w="90" w:type="dxa"/>
              <w:bottom w:w="90" w:type="dxa"/>
              <w:end w:w="90" w:type="dxa"/>
            </w:tcMar>
            <w:vAlign w:val="top"/>
          </w:tcPr>
          <w:p>
            <w:pPr>
              <w:spacing w:after="0"/>
            </w:pPr>
            <w:r>
              <w:rPr>
                <w:sz w:val="16"/>
              </w:rPr>
              <w:t>Vertragsregister und SLA-Auszüge</w:t>
            </w:r>
          </w:p>
        </w:tc>
      </w:tr>
    </w:tbl>
    <w:p>
      <w:pPr>
        <w:spacing w:after="20"/>
      </w:pPr>
    </w:p>
    <w:p>
      <w:pPr>
        <w:pStyle w:val="Heading1"/>
      </w:pPr>
      <w:r>
        <w:t>2. VPN-Vorgang vom 7. Mai 2026</w:t>
      </w:r>
    </w:p>
    <w:tbl>
      <w:tblPr>
        <w:tblStyle w:val="TableGrid"/>
        <w:tblW w:type="auto" w:w="0"/>
        <w:tblLayout w:type="fixed"/>
        <w:tblLook w:firstColumn="1" w:firstRow="1" w:lastColumn="0" w:lastRow="0" w:noHBand="0" w:noVBand="1" w:val="04A0"/>
      </w:tblPr>
      <w:tblGrid>
        <w:gridCol w:w="3969"/>
        <w:gridCol w:w="2438"/>
        <w:gridCol w:w="3061"/>
      </w:tblGrid>
      <w:tr>
        <w:tc>
          <w:tcPr>
            <w:tcW w:type="dxa" w:w="3194"/>
            <w:shd w:fill="17324D"/>
            <w:tcMar>
              <w:top w:w="90" w:type="dxa"/>
              <w:start w:w="90" w:type="dxa"/>
              <w:bottom w:w="90" w:type="dxa"/>
              <w:end w:w="90" w:type="dxa"/>
            </w:tcMar>
          </w:tcPr>
          <w:p>
            <w:r>
              <w:rPr>
                <w:b/>
                <w:color w:val="FFFFFF"/>
                <w:sz w:val="17"/>
              </w:rPr>
              <w:t>Frage</w:t>
            </w:r>
          </w:p>
        </w:tc>
        <w:tc>
          <w:tcPr>
            <w:tcW w:type="dxa" w:w="3194"/>
            <w:shd w:fill="17324D"/>
            <w:tcMar>
              <w:top w:w="90" w:type="dxa"/>
              <w:start w:w="90" w:type="dxa"/>
              <w:bottom w:w="90" w:type="dxa"/>
              <w:end w:w="90" w:type="dxa"/>
            </w:tcMar>
          </w:tcPr>
          <w:p>
            <w:r>
              <w:rPr>
                <w:b/>
                <w:color w:val="FFFFFF"/>
                <w:sz w:val="17"/>
              </w:rPr>
              <w:t>Auskunftsträger</w:t>
            </w:r>
          </w:p>
        </w:tc>
        <w:tc>
          <w:tcPr>
            <w:tcW w:type="dxa" w:w="3194"/>
            <w:shd w:fill="17324D"/>
            <w:tcMar>
              <w:top w:w="90" w:type="dxa"/>
              <w:start w:w="90" w:type="dxa"/>
              <w:bottom w:w="90" w:type="dxa"/>
              <w:end w:w="90" w:type="dxa"/>
            </w:tcMar>
          </w:tcPr>
          <w:p>
            <w:r>
              <w:rPr>
                <w:b/>
                <w:color w:val="FFFFFF"/>
                <w:sz w:val="17"/>
              </w:rPr>
              <w:t>Beleg oder Log</w:t>
            </w:r>
          </w:p>
        </w:tc>
      </w:tr>
      <w:tr>
        <w:tc>
          <w:tcPr>
            <w:tcW w:type="dxa" w:w="3969"/>
            <w:tcMar>
              <w:top w:w="90" w:type="dxa"/>
              <w:start w:w="90" w:type="dxa"/>
              <w:bottom w:w="90" w:type="dxa"/>
              <w:end w:w="90" w:type="dxa"/>
            </w:tcMar>
            <w:vAlign w:val="top"/>
          </w:tcPr>
          <w:p>
            <w:pPr>
              <w:spacing w:after="0"/>
            </w:pPr>
            <w:r>
              <w:rPr>
                <w:sz w:val="16"/>
              </w:rPr>
              <w:t>Welches Konto meldete sich von welcher Adresse an, und welche Systeme wurden erreicht?</w:t>
            </w:r>
          </w:p>
        </w:tc>
        <w:tc>
          <w:tcPr>
            <w:tcW w:type="dxa" w:w="2438"/>
            <w:tcMar>
              <w:top w:w="90" w:type="dxa"/>
              <w:start w:w="90" w:type="dxa"/>
              <w:bottom w:w="90" w:type="dxa"/>
              <w:end w:w="90" w:type="dxa"/>
            </w:tcMar>
            <w:vAlign w:val="top"/>
          </w:tcPr>
          <w:p>
            <w:pPr>
              <w:spacing w:after="0"/>
            </w:pPr>
            <w:r>
              <w:rPr>
                <w:sz w:val="16"/>
              </w:rPr>
              <w:t>SOC und Netzwerkbetrieb</w:t>
            </w:r>
          </w:p>
        </w:tc>
        <w:tc>
          <w:tcPr>
            <w:tcW w:type="dxa" w:w="3061"/>
            <w:tcMar>
              <w:top w:w="90" w:type="dxa"/>
              <w:start w:w="90" w:type="dxa"/>
              <w:bottom w:w="90" w:type="dxa"/>
              <w:end w:w="90" w:type="dxa"/>
            </w:tcMar>
            <w:vAlign w:val="top"/>
          </w:tcPr>
          <w:p>
            <w:pPr>
              <w:spacing w:after="0"/>
            </w:pPr>
            <w:r>
              <w:rPr>
                <w:sz w:val="16"/>
              </w:rPr>
              <w:t>SIEM-Export, VPN- und Firewall-Logs</w:t>
            </w:r>
          </w:p>
        </w:tc>
      </w:tr>
      <w:tr>
        <w:tc>
          <w:tcPr>
            <w:tcW w:type="dxa" w:w="3969"/>
            <w:tcMar>
              <w:top w:w="90" w:type="dxa"/>
              <w:start w:w="90" w:type="dxa"/>
              <w:bottom w:w="90" w:type="dxa"/>
              <w:end w:w="90" w:type="dxa"/>
            </w:tcMar>
            <w:vAlign w:val="top"/>
            <w:shd w:fill="F5F7F8"/>
          </w:tcPr>
          <w:p>
            <w:pPr>
              <w:spacing w:after="0"/>
            </w:pPr>
            <w:r>
              <w:rPr>
                <w:sz w:val="16"/>
              </w:rPr>
              <w:t>Gab es einen konkreten Wartungsauftrag oder eine telefonische Freigabe?</w:t>
            </w:r>
          </w:p>
        </w:tc>
        <w:tc>
          <w:tcPr>
            <w:tcW w:type="dxa" w:w="2438"/>
            <w:tcMar>
              <w:top w:w="90" w:type="dxa"/>
              <w:start w:w="90" w:type="dxa"/>
              <w:bottom w:w="90" w:type="dxa"/>
              <w:end w:w="90" w:type="dxa"/>
            </w:tcMar>
            <w:vAlign w:val="top"/>
            <w:shd w:fill="F5F7F8"/>
          </w:tcPr>
          <w:p>
            <w:pPr>
              <w:spacing w:after="0"/>
            </w:pPr>
            <w:r>
              <w:rPr>
                <w:sz w:val="16"/>
              </w:rPr>
              <w:t>Instandhaltung und Frankenturm</w:t>
            </w:r>
          </w:p>
        </w:tc>
        <w:tc>
          <w:tcPr>
            <w:tcW w:type="dxa" w:w="3061"/>
            <w:tcMar>
              <w:top w:w="90" w:type="dxa"/>
              <w:start w:w="90" w:type="dxa"/>
              <w:bottom w:w="90" w:type="dxa"/>
              <w:end w:w="90" w:type="dxa"/>
            </w:tcMar>
            <w:vAlign w:val="top"/>
            <w:shd w:fill="F5F7F8"/>
          </w:tcPr>
          <w:p>
            <w:pPr>
              <w:spacing w:after="0"/>
            </w:pPr>
            <w:r>
              <w:rPr>
                <w:sz w:val="16"/>
              </w:rPr>
              <w:t>Ticket, Auftrag, Gesprächsnotiz</w:t>
            </w:r>
          </w:p>
        </w:tc>
      </w:tr>
      <w:tr>
        <w:tc>
          <w:tcPr>
            <w:tcW w:type="dxa" w:w="3969"/>
            <w:tcMar>
              <w:top w:w="90" w:type="dxa"/>
              <w:start w:w="90" w:type="dxa"/>
              <w:bottom w:w="90" w:type="dxa"/>
              <w:end w:w="90" w:type="dxa"/>
            </w:tcMar>
            <w:vAlign w:val="top"/>
          </w:tcPr>
          <w:p>
            <w:pPr>
              <w:spacing w:after="0"/>
            </w:pPr>
            <w:r>
              <w:rPr>
                <w:sz w:val="16"/>
              </w:rPr>
              <w:t>Wurde die Session beendet, gesperrt oder weiter beobachtet?</w:t>
            </w:r>
          </w:p>
        </w:tc>
        <w:tc>
          <w:tcPr>
            <w:tcW w:type="dxa" w:w="2438"/>
            <w:tcMar>
              <w:top w:w="90" w:type="dxa"/>
              <w:start w:w="90" w:type="dxa"/>
              <w:bottom w:w="90" w:type="dxa"/>
              <w:end w:w="90" w:type="dxa"/>
            </w:tcMar>
            <w:vAlign w:val="top"/>
          </w:tcPr>
          <w:p>
            <w:pPr>
              <w:spacing w:after="0"/>
            </w:pPr>
            <w:r>
              <w:rPr>
                <w:sz w:val="16"/>
              </w:rPr>
              <w:t>SOC-Leitung</w:t>
            </w:r>
          </w:p>
        </w:tc>
        <w:tc>
          <w:tcPr>
            <w:tcW w:type="dxa" w:w="3061"/>
            <w:tcMar>
              <w:top w:w="90" w:type="dxa"/>
              <w:start w:w="90" w:type="dxa"/>
              <w:bottom w:w="90" w:type="dxa"/>
              <w:end w:w="90" w:type="dxa"/>
            </w:tcMar>
            <w:vAlign w:val="top"/>
          </w:tcPr>
          <w:p>
            <w:pPr>
              <w:spacing w:after="0"/>
            </w:pPr>
            <w:r>
              <w:rPr>
                <w:sz w:val="16"/>
              </w:rPr>
              <w:t>Incident-Timeline und Ticketstatus</w:t>
            </w:r>
          </w:p>
        </w:tc>
      </w:tr>
      <w:tr>
        <w:tc>
          <w:tcPr>
            <w:tcW w:type="dxa" w:w="3969"/>
            <w:tcMar>
              <w:top w:w="90" w:type="dxa"/>
              <w:start w:w="90" w:type="dxa"/>
              <w:bottom w:w="90" w:type="dxa"/>
              <w:end w:w="90" w:type="dxa"/>
            </w:tcMar>
            <w:vAlign w:val="top"/>
            <w:shd w:fill="F5F7F8"/>
          </w:tcPr>
          <w:p>
            <w:pPr>
              <w:spacing w:after="0"/>
            </w:pPr>
            <w:r>
              <w:rPr>
                <w:sz w:val="16"/>
              </w:rPr>
              <w:t>Sind Daten abgeflossen oder Konfigurationen verändert worden?</w:t>
            </w:r>
          </w:p>
        </w:tc>
        <w:tc>
          <w:tcPr>
            <w:tcW w:type="dxa" w:w="2438"/>
            <w:tcMar>
              <w:top w:w="90" w:type="dxa"/>
              <w:start w:w="90" w:type="dxa"/>
              <w:bottom w:w="90" w:type="dxa"/>
              <w:end w:w="90" w:type="dxa"/>
            </w:tcMar>
            <w:vAlign w:val="top"/>
            <w:shd w:fill="F5F7F8"/>
          </w:tcPr>
          <w:p>
            <w:pPr>
              <w:spacing w:after="0"/>
            </w:pPr>
            <w:r>
              <w:rPr>
                <w:sz w:val="16"/>
              </w:rPr>
              <w:t>Forensik</w:t>
            </w:r>
          </w:p>
        </w:tc>
        <w:tc>
          <w:tcPr>
            <w:tcW w:type="dxa" w:w="3061"/>
            <w:tcMar>
              <w:top w:w="90" w:type="dxa"/>
              <w:start w:w="90" w:type="dxa"/>
              <w:bottom w:w="90" w:type="dxa"/>
              <w:end w:w="90" w:type="dxa"/>
            </w:tcMar>
            <w:vAlign w:val="top"/>
            <w:shd w:fill="F5F7F8"/>
          </w:tcPr>
          <w:p>
            <w:pPr>
              <w:spacing w:after="0"/>
            </w:pPr>
            <w:r>
              <w:rPr>
                <w:sz w:val="16"/>
              </w:rPr>
              <w:t>EDR-, DLP- und Dateiänderungsprotokolle</w:t>
            </w:r>
          </w:p>
        </w:tc>
      </w:tr>
      <w:tr>
        <w:tc>
          <w:tcPr>
            <w:tcW w:type="dxa" w:w="3969"/>
            <w:tcMar>
              <w:top w:w="90" w:type="dxa"/>
              <w:start w:w="90" w:type="dxa"/>
              <w:bottom w:w="90" w:type="dxa"/>
              <w:end w:w="90" w:type="dxa"/>
            </w:tcMar>
            <w:vAlign w:val="top"/>
          </w:tcPr>
          <w:p>
            <w:pPr>
              <w:spacing w:after="0"/>
            </w:pPr>
            <w:r>
              <w:rPr>
                <w:sz w:val="16"/>
              </w:rPr>
              <w:t>Welche Benachrichtigungen wurden intern oder extern bereits versandt?</w:t>
            </w:r>
          </w:p>
        </w:tc>
        <w:tc>
          <w:tcPr>
            <w:tcW w:type="dxa" w:w="2438"/>
            <w:tcMar>
              <w:top w:w="90" w:type="dxa"/>
              <w:start w:w="90" w:type="dxa"/>
              <w:bottom w:w="90" w:type="dxa"/>
              <w:end w:w="90" w:type="dxa"/>
            </w:tcMar>
            <w:vAlign w:val="top"/>
          </w:tcPr>
          <w:p>
            <w:pPr>
              <w:spacing w:after="0"/>
            </w:pPr>
            <w:r>
              <w:rPr>
                <w:sz w:val="16"/>
              </w:rPr>
              <w:t>CISO und Recht</w:t>
            </w:r>
          </w:p>
        </w:tc>
        <w:tc>
          <w:tcPr>
            <w:tcW w:type="dxa" w:w="3061"/>
            <w:tcMar>
              <w:top w:w="90" w:type="dxa"/>
              <w:start w:w="90" w:type="dxa"/>
              <w:bottom w:w="90" w:type="dxa"/>
              <w:end w:w="90" w:type="dxa"/>
            </w:tcMar>
            <w:vAlign w:val="top"/>
          </w:tcPr>
          <w:p>
            <w:pPr>
              <w:spacing w:after="0"/>
            </w:pPr>
            <w:r>
              <w:rPr>
                <w:sz w:val="16"/>
              </w:rPr>
              <w:t>Mailjournal und Versandnachweise</w:t>
            </w:r>
          </w:p>
        </w:tc>
      </w:tr>
    </w:tbl>
    <w:p>
      <w:pPr>
        <w:spacing w:after="20"/>
      </w:pPr>
    </w:p>
    <w:p>
      <w:pPr>
        <w:pStyle w:val="Heading1"/>
      </w:pPr>
      <w:r>
        <w:t>3. Rollouts und Überwachungsfunktionen</w:t>
      </w:r>
    </w:p>
    <w:tbl>
      <w:tblPr>
        <w:tblStyle w:val="TableGrid"/>
        <w:tblW w:type="auto" w:w="0"/>
        <w:tblLayout w:type="fixed"/>
        <w:tblLook w:firstColumn="1" w:firstRow="1" w:lastColumn="0" w:lastRow="0" w:noHBand="0" w:noVBand="1" w:val="04A0"/>
      </w:tblPr>
      <w:tblGrid>
        <w:gridCol w:w="1871"/>
        <w:gridCol w:w="4082"/>
        <w:gridCol w:w="3515"/>
      </w:tblGrid>
      <w:tr>
        <w:tc>
          <w:tcPr>
            <w:tcW w:type="dxa" w:w="3194"/>
            <w:shd w:fill="17324D"/>
            <w:tcMar>
              <w:top w:w="90" w:type="dxa"/>
              <w:start w:w="90" w:type="dxa"/>
              <w:bottom w:w="90" w:type="dxa"/>
              <w:end w:w="90" w:type="dxa"/>
            </w:tcMar>
          </w:tcPr>
          <w:p>
            <w:r>
              <w:rPr>
                <w:b/>
                <w:color w:val="FFFFFF"/>
                <w:sz w:val="17"/>
              </w:rPr>
              <w:t>Thema</w:t>
            </w:r>
          </w:p>
        </w:tc>
        <w:tc>
          <w:tcPr>
            <w:tcW w:type="dxa" w:w="3194"/>
            <w:shd w:fill="17324D"/>
            <w:tcMar>
              <w:top w:w="90" w:type="dxa"/>
              <w:start w:w="90" w:type="dxa"/>
              <w:bottom w:w="90" w:type="dxa"/>
              <w:end w:w="90" w:type="dxa"/>
            </w:tcMar>
          </w:tcPr>
          <w:p>
            <w:r>
              <w:rPr>
                <w:b/>
                <w:color w:val="FFFFFF"/>
                <w:sz w:val="17"/>
              </w:rPr>
              <w:t>Konkrete Rückfrage</w:t>
            </w:r>
          </w:p>
        </w:tc>
        <w:tc>
          <w:tcPr>
            <w:tcW w:type="dxa" w:w="3194"/>
            <w:shd w:fill="17324D"/>
            <w:tcMar>
              <w:top w:w="90" w:type="dxa"/>
              <w:start w:w="90" w:type="dxa"/>
              <w:bottom w:w="90" w:type="dxa"/>
              <w:end w:w="90" w:type="dxa"/>
            </w:tcMar>
          </w:tcPr>
          <w:p>
            <w:r>
              <w:rPr>
                <w:b/>
                <w:color w:val="FFFFFF"/>
                <w:sz w:val="17"/>
              </w:rPr>
              <w:t>Entscheidungsrelevanter Nachweis</w:t>
            </w:r>
          </w:p>
        </w:tc>
      </w:tr>
      <w:tr>
        <w:tc>
          <w:tcPr>
            <w:tcW w:type="dxa" w:w="1871"/>
            <w:tcMar>
              <w:top w:w="90" w:type="dxa"/>
              <w:start w:w="90" w:type="dxa"/>
              <w:bottom w:w="90" w:type="dxa"/>
              <w:end w:w="90" w:type="dxa"/>
            </w:tcMar>
            <w:vAlign w:val="top"/>
          </w:tcPr>
          <w:p>
            <w:pPr>
              <w:spacing w:after="0"/>
            </w:pPr>
            <w:r>
              <w:rPr>
                <w:sz w:val="16"/>
              </w:rPr>
              <w:t>Slack</w:t>
            </w:r>
          </w:p>
        </w:tc>
        <w:tc>
          <w:tcPr>
            <w:tcW w:type="dxa" w:w="4082"/>
            <w:tcMar>
              <w:top w:w="90" w:type="dxa"/>
              <w:start w:w="90" w:type="dxa"/>
              <w:bottom w:w="90" w:type="dxa"/>
              <w:end w:w="90" w:type="dxa"/>
            </w:tcMar>
            <w:vAlign w:val="top"/>
          </w:tcPr>
          <w:p>
            <w:pPr>
              <w:spacing w:after="0"/>
            </w:pPr>
            <w:r>
              <w:rPr>
                <w:sz w:val="16"/>
              </w:rPr>
              <w:t>Welche Daten dürfen in externe Kanäle, wer lädt Gäste ein, wie lange bleiben Inhalte erhalten?</w:t>
            </w:r>
          </w:p>
        </w:tc>
        <w:tc>
          <w:tcPr>
            <w:tcW w:type="dxa" w:w="3515"/>
            <w:tcMar>
              <w:top w:w="90" w:type="dxa"/>
              <w:start w:w="90" w:type="dxa"/>
              <w:bottom w:w="90" w:type="dxa"/>
              <w:end w:w="90" w:type="dxa"/>
            </w:tcMar>
            <w:vAlign w:val="top"/>
          </w:tcPr>
          <w:p>
            <w:pPr>
              <w:spacing w:after="0"/>
            </w:pPr>
            <w:r>
              <w:rPr>
                <w:sz w:val="16"/>
              </w:rPr>
              <w:t>Konfiguration, Rollenexport, Datenklassen, Löschregel</w:t>
            </w:r>
          </w:p>
        </w:tc>
      </w:tr>
      <w:tr>
        <w:tc>
          <w:tcPr>
            <w:tcW w:type="dxa" w:w="1871"/>
            <w:tcMar>
              <w:top w:w="90" w:type="dxa"/>
              <w:start w:w="90" w:type="dxa"/>
              <w:bottom w:w="90" w:type="dxa"/>
              <w:end w:w="90" w:type="dxa"/>
            </w:tcMar>
            <w:vAlign w:val="top"/>
            <w:shd w:fill="F5F7F8"/>
          </w:tcPr>
          <w:p>
            <w:pPr>
              <w:spacing w:after="0"/>
            </w:pPr>
            <w:r>
              <w:rPr>
                <w:sz w:val="16"/>
              </w:rPr>
              <w:t>MDM</w:t>
            </w:r>
          </w:p>
        </w:tc>
        <w:tc>
          <w:tcPr>
            <w:tcW w:type="dxa" w:w="4082"/>
            <w:tcMar>
              <w:top w:w="90" w:type="dxa"/>
              <w:start w:w="90" w:type="dxa"/>
              <w:bottom w:w="90" w:type="dxa"/>
              <w:end w:w="90" w:type="dxa"/>
            </w:tcMar>
            <w:vAlign w:val="top"/>
            <w:shd w:fill="F5F7F8"/>
          </w:tcPr>
          <w:p>
            <w:pPr>
              <w:spacing w:after="0"/>
            </w:pPr>
            <w:r>
              <w:rPr>
                <w:sz w:val="16"/>
              </w:rPr>
              <w:t>Welche Geräte, Apps, Standort- und Protokolldaten sind sichtbar?</w:t>
            </w:r>
          </w:p>
        </w:tc>
        <w:tc>
          <w:tcPr>
            <w:tcW w:type="dxa" w:w="3515"/>
            <w:tcMar>
              <w:top w:w="90" w:type="dxa"/>
              <w:start w:w="90" w:type="dxa"/>
              <w:bottom w:w="90" w:type="dxa"/>
              <w:end w:w="90" w:type="dxa"/>
            </w:tcMar>
            <w:vAlign w:val="top"/>
            <w:shd w:fill="F5F7F8"/>
          </w:tcPr>
          <w:p>
            <w:pPr>
              <w:spacing w:after="0"/>
            </w:pPr>
            <w:r>
              <w:rPr>
                <w:sz w:val="16"/>
              </w:rPr>
              <w:t>Profilbeschreibung, Gerätebestand, Adminrollen</w:t>
            </w:r>
          </w:p>
        </w:tc>
      </w:tr>
      <w:tr>
        <w:tc>
          <w:tcPr>
            <w:tcW w:type="dxa" w:w="1871"/>
            <w:tcMar>
              <w:top w:w="90" w:type="dxa"/>
              <w:start w:w="90" w:type="dxa"/>
              <w:bottom w:w="90" w:type="dxa"/>
              <w:end w:w="90" w:type="dxa"/>
            </w:tcMar>
            <w:vAlign w:val="top"/>
          </w:tcPr>
          <w:p>
            <w:pPr>
              <w:spacing w:after="0"/>
            </w:pPr>
            <w:r>
              <w:rPr>
                <w:sz w:val="16"/>
              </w:rPr>
              <w:t>AirTags</w:t>
            </w:r>
          </w:p>
        </w:tc>
        <w:tc>
          <w:tcPr>
            <w:tcW w:type="dxa" w:w="4082"/>
            <w:tcMar>
              <w:top w:w="90" w:type="dxa"/>
              <w:start w:w="90" w:type="dxa"/>
              <w:bottom w:w="90" w:type="dxa"/>
              <w:end w:w="90" w:type="dxa"/>
            </w:tcMar>
            <w:vAlign w:val="top"/>
          </w:tcPr>
          <w:p>
            <w:pPr>
              <w:spacing w:after="0"/>
            </w:pPr>
            <w:r>
              <w:rPr>
                <w:sz w:val="16"/>
              </w:rPr>
              <w:t>An welchem Gegenstand sind sie befestigt, wer sieht Standorte, wann werden sie entfernt?</w:t>
            </w:r>
          </w:p>
        </w:tc>
        <w:tc>
          <w:tcPr>
            <w:tcW w:type="dxa" w:w="3515"/>
            <w:tcMar>
              <w:top w:w="90" w:type="dxa"/>
              <w:start w:w="90" w:type="dxa"/>
              <w:bottom w:w="90" w:type="dxa"/>
              <w:end w:w="90" w:type="dxa"/>
            </w:tcMar>
            <w:vAlign w:val="top"/>
          </w:tcPr>
          <w:p>
            <w:pPr>
              <w:spacing w:after="0"/>
            </w:pPr>
            <w:r>
              <w:rPr>
                <w:sz w:val="16"/>
              </w:rPr>
              <w:t>Seriennummernliste, Ausgabeprotokoll, Zugriffsscreenshot</w:t>
            </w:r>
          </w:p>
        </w:tc>
      </w:tr>
      <w:tr>
        <w:tc>
          <w:tcPr>
            <w:tcW w:type="dxa" w:w="1871"/>
            <w:tcMar>
              <w:top w:w="90" w:type="dxa"/>
              <w:start w:w="90" w:type="dxa"/>
              <w:bottom w:w="90" w:type="dxa"/>
              <w:end w:w="90" w:type="dxa"/>
            </w:tcMar>
            <w:vAlign w:val="top"/>
            <w:shd w:fill="F5F7F8"/>
          </w:tcPr>
          <w:p>
            <w:pPr>
              <w:spacing w:after="0"/>
            </w:pPr>
            <w:r>
              <w:rPr>
                <w:sz w:val="16"/>
              </w:rPr>
              <w:t>SIEM</w:t>
            </w:r>
          </w:p>
        </w:tc>
        <w:tc>
          <w:tcPr>
            <w:tcW w:type="dxa" w:w="4082"/>
            <w:tcMar>
              <w:top w:w="90" w:type="dxa"/>
              <w:start w:w="90" w:type="dxa"/>
              <w:bottom w:w="90" w:type="dxa"/>
              <w:end w:w="90" w:type="dxa"/>
            </w:tcMar>
            <w:vAlign w:val="top"/>
            <w:shd w:fill="F5F7F8"/>
          </w:tcPr>
          <w:p>
            <w:pPr>
              <w:spacing w:after="0"/>
            </w:pPr>
            <w:r>
              <w:rPr>
                <w:sz w:val="16"/>
              </w:rPr>
              <w:t>Welche Regeln erfassen Beschäftigtenaktivität und wie werden Fehlalarme bearbeitet?</w:t>
            </w:r>
          </w:p>
        </w:tc>
        <w:tc>
          <w:tcPr>
            <w:tcW w:type="dxa" w:w="3515"/>
            <w:tcMar>
              <w:top w:w="90" w:type="dxa"/>
              <w:start w:w="90" w:type="dxa"/>
              <w:bottom w:w="90" w:type="dxa"/>
              <w:end w:w="90" w:type="dxa"/>
            </w:tcMar>
            <w:vAlign w:val="top"/>
            <w:shd w:fill="F5F7F8"/>
          </w:tcPr>
          <w:p>
            <w:pPr>
              <w:spacing w:after="0"/>
            </w:pPr>
            <w:r>
              <w:rPr>
                <w:sz w:val="16"/>
              </w:rPr>
              <w:t>Use-Case-Katalog, Berechtigung, Aufbewahrung</w:t>
            </w:r>
          </w:p>
        </w:tc>
      </w:tr>
    </w:tbl>
    <w:p>
      <w:pPr>
        <w:spacing w:after="20"/>
      </w:pPr>
    </w:p>
    <w:p>
      <w:pPr>
        <w:pStyle w:val="Heading1"/>
      </w:pPr>
      <w:r>
        <w:t>4. Wiederanlauf und Schlüsselverwaltung</w:t>
      </w:r>
    </w:p>
    <w:p>
      <w:pPr>
        <w:widowControl/>
      </w:pPr>
      <w:r>
        <w:t>Für jedes getestete System sind Ausgangszustand, Sicherungsstand, Startzeit, Wiederherstellungszeit, Datenverlust, Abbruchgrund und Abnahme durch den Fachbereich zu erfragen. Beim Code Signing sind Zertifikatsinhaber, Ablaufdatum, Speicherort des privaten Schlüssels, berechtigte Konten, Rotationsplan und Rollback zu dokumentieren.</w:t>
      </w:r>
    </w:p>
    <w:p>
      <w:pPr>
        <w:pStyle w:val="Heading1"/>
      </w:pPr>
      <w:r>
        <w:t>5. Abschluss des Gesprächs</w:t>
      </w:r>
    </w:p>
    <w:tbl>
      <w:tblPr>
        <w:tblStyle w:val="TableGrid"/>
        <w:tblW w:type="auto" w:w="0"/>
        <w:tblLayout w:type="fixed"/>
        <w:tblLook w:firstColumn="1" w:firstRow="1" w:lastColumn="0" w:lastRow="0" w:noHBand="0" w:noVBand="1" w:val="04A0"/>
      </w:tblPr>
      <w:tblGrid>
        <w:gridCol w:w="5102"/>
        <w:gridCol w:w="4535"/>
      </w:tblGrid>
      <w:tr>
        <w:tc>
          <w:tcPr>
            <w:tcW w:type="dxa" w:w="4790"/>
            <w:shd w:fill="17324D"/>
            <w:tcMar>
              <w:top w:w="90" w:type="dxa"/>
              <w:start w:w="90" w:type="dxa"/>
              <w:bottom w:w="90" w:type="dxa"/>
              <w:end w:w="90" w:type="dxa"/>
            </w:tcMar>
          </w:tcPr>
          <w:p>
            <w:r>
              <w:rPr>
                <w:b/>
                <w:color w:val="FFFFFF"/>
                <w:sz w:val="17"/>
              </w:rPr>
              <w:t>Festzuhalten</w:t>
            </w:r>
          </w:p>
        </w:tc>
        <w:tc>
          <w:tcPr>
            <w:tcW w:type="dxa" w:w="4790"/>
            <w:shd w:fill="17324D"/>
            <w:tcMar>
              <w:top w:w="90" w:type="dxa"/>
              <w:start w:w="90" w:type="dxa"/>
              <w:bottom w:w="90" w:type="dxa"/>
              <w:end w:w="90" w:type="dxa"/>
            </w:tcMar>
          </w:tcPr>
          <w:p>
            <w:r>
              <w:rPr>
                <w:b/>
                <w:color w:val="FFFFFF"/>
                <w:sz w:val="17"/>
              </w:rPr>
              <w:t>Form</w:t>
            </w:r>
          </w:p>
        </w:tc>
      </w:tr>
      <w:tr>
        <w:tc>
          <w:tcPr>
            <w:tcW w:type="dxa" w:w="5102"/>
            <w:tcMar>
              <w:top w:w="90" w:type="dxa"/>
              <w:start w:w="90" w:type="dxa"/>
              <w:bottom w:w="90" w:type="dxa"/>
              <w:end w:w="90" w:type="dxa"/>
            </w:tcMar>
            <w:vAlign w:val="top"/>
          </w:tcPr>
          <w:p>
            <w:pPr>
              <w:spacing w:after="0"/>
            </w:pPr>
            <w:r>
              <w:rPr>
                <w:sz w:val="16"/>
              </w:rPr>
              <w:t>Eine Entscheidung, die der Vorstand am 29. Mai tatsächlich treffen soll</w:t>
            </w:r>
          </w:p>
        </w:tc>
        <w:tc>
          <w:tcPr>
            <w:tcW w:type="dxa" w:w="4535"/>
            <w:tcMar>
              <w:top w:w="90" w:type="dxa"/>
              <w:start w:w="90" w:type="dxa"/>
              <w:bottom w:w="90" w:type="dxa"/>
              <w:end w:w="90" w:type="dxa"/>
            </w:tcMar>
            <w:vAlign w:val="top"/>
          </w:tcPr>
          <w:p>
            <w:pPr>
              <w:spacing w:after="0"/>
            </w:pPr>
            <w:r>
              <w:rPr>
                <w:sz w:val="16"/>
              </w:rPr>
              <w:t>Beschlussfrage in einem Satz</w:t>
            </w:r>
          </w:p>
        </w:tc>
      </w:tr>
      <w:tr>
        <w:tc>
          <w:tcPr>
            <w:tcW w:type="dxa" w:w="5102"/>
            <w:tcMar>
              <w:top w:w="90" w:type="dxa"/>
              <w:start w:w="90" w:type="dxa"/>
              <w:bottom w:w="90" w:type="dxa"/>
              <w:end w:w="90" w:type="dxa"/>
            </w:tcMar>
            <w:vAlign w:val="top"/>
            <w:shd w:fill="F5F7F8"/>
          </w:tcPr>
          <w:p>
            <w:pPr>
              <w:spacing w:after="0"/>
            </w:pPr>
            <w:r>
              <w:rPr>
                <w:sz w:val="16"/>
              </w:rPr>
              <w:t>Jede noch offene technische Behauptung</w:t>
            </w:r>
          </w:p>
        </w:tc>
        <w:tc>
          <w:tcPr>
            <w:tcW w:type="dxa" w:w="4535"/>
            <w:tcMar>
              <w:top w:w="90" w:type="dxa"/>
              <w:start w:w="90" w:type="dxa"/>
              <w:bottom w:w="90" w:type="dxa"/>
              <w:end w:w="90" w:type="dxa"/>
            </w:tcMar>
            <w:vAlign w:val="top"/>
            <w:shd w:fill="F5F7F8"/>
          </w:tcPr>
          <w:p>
            <w:pPr>
              <w:spacing w:after="0"/>
            </w:pPr>
            <w:r>
              <w:rPr>
                <w:sz w:val="16"/>
              </w:rPr>
              <w:t>Lücke mit Auskunftsträger und Liefertermin</w:t>
            </w:r>
          </w:p>
        </w:tc>
      </w:tr>
      <w:tr>
        <w:tc>
          <w:tcPr>
            <w:tcW w:type="dxa" w:w="5102"/>
            <w:tcMar>
              <w:top w:w="90" w:type="dxa"/>
              <w:start w:w="90" w:type="dxa"/>
              <w:bottom w:w="90" w:type="dxa"/>
              <w:end w:w="90" w:type="dxa"/>
            </w:tcMar>
            <w:vAlign w:val="top"/>
          </w:tcPr>
          <w:p>
            <w:pPr>
              <w:spacing w:after="0"/>
            </w:pPr>
            <w:r>
              <w:rPr>
                <w:sz w:val="16"/>
              </w:rPr>
              <w:t>Jede laufende Frist oder vertragliche Meldevorgabe</w:t>
            </w:r>
          </w:p>
        </w:tc>
        <w:tc>
          <w:tcPr>
            <w:tcW w:type="dxa" w:w="4535"/>
            <w:tcMar>
              <w:top w:w="90" w:type="dxa"/>
              <w:start w:w="90" w:type="dxa"/>
              <w:bottom w:w="90" w:type="dxa"/>
              <w:end w:w="90" w:type="dxa"/>
            </w:tcMar>
            <w:vAlign w:val="top"/>
          </w:tcPr>
          <w:p>
            <w:pPr>
              <w:spacing w:after="0"/>
            </w:pPr>
            <w:r>
              <w:rPr>
                <w:sz w:val="16"/>
              </w:rPr>
              <w:t>Fristenblatt mit Quelle</w:t>
            </w:r>
          </w:p>
        </w:tc>
      </w:tr>
      <w:tr>
        <w:tc>
          <w:tcPr>
            <w:tcW w:type="dxa" w:w="5102"/>
            <w:tcMar>
              <w:top w:w="90" w:type="dxa"/>
              <w:start w:w="90" w:type="dxa"/>
              <w:bottom w:w="90" w:type="dxa"/>
              <w:end w:w="90" w:type="dxa"/>
            </w:tcMar>
            <w:vAlign w:val="top"/>
            <w:shd w:fill="F5F7F8"/>
          </w:tcPr>
          <w:p>
            <w:pPr>
              <w:spacing w:after="0"/>
            </w:pPr>
            <w:r>
              <w:rPr>
                <w:sz w:val="16"/>
              </w:rPr>
              <w:t>Jedes sofort zu sichernde Log oder Dokument</w:t>
            </w:r>
          </w:p>
        </w:tc>
        <w:tc>
          <w:tcPr>
            <w:tcW w:type="dxa" w:w="4535"/>
            <w:tcMar>
              <w:top w:w="90" w:type="dxa"/>
              <w:start w:w="90" w:type="dxa"/>
              <w:bottom w:w="90" w:type="dxa"/>
              <w:end w:w="90" w:type="dxa"/>
            </w:tcMar>
            <w:vAlign w:val="top"/>
            <w:shd w:fill="F5F7F8"/>
          </w:tcPr>
          <w:p>
            <w:pPr>
              <w:spacing w:after="0"/>
            </w:pPr>
            <w:r>
              <w:rPr>
                <w:sz w:val="16"/>
              </w:rPr>
              <w:t>Sicherungsauftrag mit Hash und Verwahrort</w:t>
            </w:r>
          </w:p>
        </w:tc>
      </w:tr>
      <w:tr>
        <w:tc>
          <w:tcPr>
            <w:tcW w:type="dxa" w:w="5102"/>
            <w:tcMar>
              <w:top w:w="90" w:type="dxa"/>
              <w:start w:w="90" w:type="dxa"/>
              <w:bottom w:w="90" w:type="dxa"/>
              <w:end w:w="90" w:type="dxa"/>
            </w:tcMar>
            <w:vAlign w:val="top"/>
          </w:tcPr>
          <w:p>
            <w:pPr>
              <w:spacing w:after="0"/>
            </w:pPr>
            <w:r>
              <w:rPr>
                <w:sz w:val="16"/>
              </w:rPr>
              <w:t>Jedes freizugebende Arbeitsprodukt</w:t>
            </w:r>
          </w:p>
        </w:tc>
        <w:tc>
          <w:tcPr>
            <w:tcW w:type="dxa" w:w="4535"/>
            <w:tcMar>
              <w:top w:w="90" w:type="dxa"/>
              <w:start w:w="90" w:type="dxa"/>
              <w:bottom w:w="90" w:type="dxa"/>
              <w:end w:w="90" w:type="dxa"/>
            </w:tcMar>
            <w:vAlign w:val="top"/>
          </w:tcPr>
          <w:p>
            <w:pPr>
              <w:spacing w:after="0"/>
            </w:pPr>
            <w:r>
              <w:rPr>
                <w:sz w:val="16"/>
              </w:rPr>
              <w:t>Owner, Version, Vier-Augen-Kontrolle</w:t>
            </w:r>
          </w:p>
        </w:tc>
      </w:tr>
    </w:tbl>
    <w:p>
      <w:pPr>
        <w:spacing w:after="20"/>
      </w:pPr>
    </w:p>
    <w:p>
      <w:pPr>
        <w:keepLines/>
        <w:spacing w:before="120"/>
      </w:pPr>
      <w:r>
        <w:rPr>
          <w:b/>
        </w:rPr>
        <w:t>Dr. Henning Brennecke · Rechtsanwalt</w:t>
      </w:r>
    </w:p>
    <w:sectPr w:rsidR="00FC693F" w:rsidRPr="0006063C" w:rsidSect="00034616">
      <w:footerReference w:type="default" r:id="rId9"/>
      <w:headerReference w:type="default" r:id="rId10"/>
      <w:pgSz w:w="11906" w:h="16838"/>
      <w:pgMar w:top="1247" w:right="1134" w:bottom="1020" w:left="119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jc w:val="left"/>
    </w:pPr>
    <w:r>
      <w:rPr>
        <w:rFonts w:ascii="Times New Roman" w:hAnsi="Times New Roman"/>
        <w:color w:val="6B6B66"/>
        <w:sz w:val="16"/>
      </w:rPr>
    </w:r>
    <w:r>
      <w:rPr>
        <w:rFonts w:ascii="Times New Roman" w:hAnsi="Times New Roman"/>
        <w:color w:val="6B6B66"/>
        <w:sz w:val="16"/>
      </w:rPr>
      <w:t>Lahnwerke Maschinenbau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Lahnwerke Maschinenbau AG</w:t>
    </w:r>
  </w:p>
  <w:p>
    <w:pPr>
      <w:jc w:val="left"/>
      <w:pBdr>
        <w:bottom w:val="single" w:sz="6" w:space="2" w:color="2C5230"/>
      </w:pBdr>
    </w:pPr>
    <w:r>
      <w:rPr>
        <w:rFonts w:ascii="Times New Roman" w:hAnsi="Times New Roman"/>
        <w:color w:val="6B6B66"/>
        <w:sz w:val="16"/>
      </w:rPr>
      <w:t>09:15 Uhr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