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Eingangstriage Referentenentwurf ElErrHandRegG</w:t>
      </w:r>
    </w:p>
    <w:p>
      <w:pPr>
        <w:jc w:val="left"/>
      </w:pPr>
      <w:r>
        <w:rPr>
          <w:b/>
        </w:rPr>
        <w:t>NKR-Az:</w:t>
      </w:r>
      <w:r>
        <w:t xml:space="preserve"> NKR-RefE-2026-088</w:t>
      </w:r>
    </w:p>
    <w:p>
      <w:pPr>
        <w:jc w:val="left"/>
      </w:pPr>
      <w:r>
        <w:rPr>
          <w:b/>
        </w:rPr>
        <w:t>Eingangsdatum:</w:t>
      </w:r>
      <w:r>
        <w:t xml:space="preserve"> 14.04.2026, 11:42 Uhr (E-Mail des BMJ-Referenten Hartmut Pelluck)</w:t>
      </w:r>
    </w:p>
    <w:p>
      <w:pPr>
        <w:jc w:val="left"/>
      </w:pPr>
      <w:r>
        <w:rPr>
          <w:b/>
        </w:rPr>
        <w:t>Bearbeiter:</w:t>
      </w:r>
      <w:r>
        <w:t xml:space="preserve"> Dr. Wilhelm Stadelheim-Bechler</w:t>
      </w:r>
    </w:p>
    <w:p>
      <w:pPr>
        <w:pStyle w:val="Heading2"/>
      </w:pPr>
      <w:r>
        <w:rPr>
          <w:rFonts w:ascii="Times New Roman" w:hAnsi="Times New Roman"/>
        </w:rPr>
        <w:t>1. Formalia</w:t>
      </w:r>
    </w:p>
    <w:p>
      <w:pPr>
        <w:pStyle w:val="ListBullet"/>
      </w:pPr>
      <w:r>
        <w:rPr>
          <w:b/>
        </w:rPr>
        <w:t>Ressort:</w:t>
      </w:r>
      <w:r>
        <w:t xml:space="preserve"> BMJ, Abteilung R, Referat R B 5 (Gerichtliche Verfahrensrecht)</w:t>
      </w:r>
    </w:p>
    <w:p>
      <w:pPr>
        <w:pStyle w:val="ListBullet"/>
      </w:pPr>
      <w:r>
        <w:rPr>
          <w:b/>
        </w:rPr>
        <w:t>Federführend:</w:t>
      </w:r>
      <w:r>
        <w:t xml:space="preserve"> Referent Hartmut Pelluck-Stadelmann</w:t>
      </w:r>
    </w:p>
    <w:p>
      <w:pPr>
        <w:pStyle w:val="ListBullet"/>
      </w:pPr>
      <w:r>
        <w:rPr>
          <w:b/>
        </w:rPr>
        <w:t>Vorgang:</w:t>
      </w:r>
      <w:r>
        <w:t xml:space="preserve"> Referentenentwurf (kein Diskussionsentwurf, kein Eckpunktepapier)</w:t>
      </w:r>
    </w:p>
    <w:p>
      <w:pPr>
        <w:pStyle w:val="ListBullet"/>
      </w:pPr>
      <w:r>
        <w:rPr>
          <w:b/>
        </w:rPr>
        <w:t>Frist Stellungnahme NKR:</w:t>
      </w:r>
      <w:r>
        <w:t xml:space="preserve"> sechs Wochen ab Eingang gem. § 6 Abs. 1 NKRG → </w:t>
      </w:r>
      <w:r>
        <w:rPr>
          <w:b/>
        </w:rPr>
        <w:t>28.05.2026</w:t>
      </w:r>
    </w:p>
    <w:p>
      <w:pPr>
        <w:pStyle w:val="Heading2"/>
      </w:pPr>
      <w:r>
        <w:rPr>
          <w:rFonts w:ascii="Times New Roman" w:hAnsi="Times New Roman"/>
        </w:rPr>
        <w:t>2. Sechs-Punkte-Triage NKR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Schwere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Erfuellungsaufwand vollständig dargelegt?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Teilweise. BMJ gibt 280 Mio EUR jährlich Wirtschaft an; NKR-Plausibilitaetspruefung notwendig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Erforderlichkeitspruefung explizit?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aber thin: "Verkürzung der Verfahrensdauer um zwei Monate" — ohne 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Alternativenpruefung?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Nein, gar nicht. Nur "wir machen es so"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KMU-Test durchgeführt?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One-in-one-out-Buchung?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Vorgeschlagen aber keine "Out"-Gegenrechnung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Digitalcheck/OZG-Anschluss?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Im Entwurf erwähnt, aber nicht ausgeführt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Erste Einschätzung</w:t>
      </w:r>
    </w:p>
    <w:p>
      <w:pPr>
        <w:jc w:val="left"/>
      </w:pPr>
      <w:r>
        <w:t xml:space="preserve">Vorhaben ist </w:t>
      </w:r>
      <w:r>
        <w:rPr>
          <w:b/>
        </w:rPr>
        <w:t>prinzipiell sinnvoll und auch erforderlich</w:t>
      </w:r>
      <w:r>
        <w:t xml:space="preserve"> — das Problem ist real, der Nutzen plausibel. Aber die im Entwurf gewählte Lösung ist:</w:t>
      </w:r>
    </w:p>
    <w:p>
      <w:pPr>
        <w:pStyle w:val="ListBullet"/>
      </w:pPr>
      <w:r>
        <w:rPr>
          <w:b/>
        </w:rPr>
        <w:t>dezentralisiert</w:t>
      </w:r>
      <w:r>
        <w:t xml:space="preserve"> (jede Gesellschaft bei jedem Amtsgericht — keine zentrale Lösung)</w:t>
      </w:r>
    </w:p>
    <w:p>
      <w:pPr>
        <w:pStyle w:val="ListBullet"/>
      </w:pPr>
      <w:r>
        <w:rPr>
          <w:b/>
        </w:rPr>
        <w:t>mehrgleisig</w:t>
      </w:r>
      <w:r>
        <w:t xml:space="preserve"> (drei technische Standards parallel — beA / De-Mail / qualifizierter eIDAS-konformer Mailbox-Dienst)</w:t>
      </w:r>
    </w:p>
    <w:p>
      <w:pPr>
        <w:pStyle w:val="ListBullet"/>
      </w:pPr>
      <w:r>
        <w:rPr>
          <w:b/>
        </w:rPr>
        <w:t>wiederholungsintensiv</w:t>
      </w:r>
      <w:r>
        <w:t xml:space="preserve"> (monatlicher Lebensbescheid — vergleichbar dem GwG-Transparenzregister-Update, aber 12-mal so häufig)</w:t>
      </w:r>
    </w:p>
    <w:p>
      <w:pPr>
        <w:pStyle w:val="ListBullet"/>
      </w:pPr>
      <w:r>
        <w:rPr>
          <w:b/>
        </w:rPr>
        <w:t>sanktionsschwer</w:t>
      </w:r>
      <w:r>
        <w:t xml:space="preserve"> (Zwangsgeld bis 50.000 EUR, Löschung im Wiederholungsfall)</w:t>
      </w:r>
    </w:p>
    <w:p>
      <w:pPr>
        <w:jc w:val="left"/>
      </w:pPr>
      <w:r>
        <w:t xml:space="preserve">→ erwartbar </w:t>
      </w:r>
      <w:r>
        <w:rPr>
          <w:b/>
        </w:rPr>
        <w:t>deutlich höherer Erfuellungsaufwand</w:t>
      </w:r>
      <w:r>
        <w:t xml:space="preserve"> als BMJ ausweist; KMU werden uebermaessig belastet.</w:t>
      </w:r>
    </w:p>
    <w:p>
      <w:pPr>
        <w:pStyle w:val="Heading2"/>
      </w:pPr>
      <w:r>
        <w:rPr>
          <w:rFonts w:ascii="Times New Roman" w:hAnsi="Times New Roman"/>
        </w:rPr>
        <w:t>4. Nächste Schritte</w:t>
      </w:r>
    </w:p>
    <w:p>
      <w:pPr>
        <w:pStyle w:val="ListNumber"/>
      </w:pPr>
      <w:r>
        <w:t>Erforderlichkeit detailliert prüfen (Aktenstück 04)</w:t>
      </w:r>
    </w:p>
    <w:p>
      <w:pPr>
        <w:pStyle w:val="ListNumber"/>
      </w:pPr>
      <w:r>
        <w:t>Alternativen entwickeln und vergleichen (Aktenstück 05)</w:t>
      </w:r>
    </w:p>
    <w:p>
      <w:pPr>
        <w:pStyle w:val="ListNumber"/>
      </w:pPr>
      <w:r>
        <w:t>Erfuellungsaufwand neu berechnen (Aktenstück 06, 07)</w:t>
      </w:r>
    </w:p>
    <w:p>
      <w:pPr>
        <w:pStyle w:val="ListNumber"/>
      </w:pPr>
      <w:r>
        <w:t>KMU-Test (Aktenstück 09)</w:t>
      </w:r>
    </w:p>
    <w:p>
      <w:pPr>
        <w:pStyle w:val="ListNumber"/>
      </w:pPr>
      <w:r>
        <w:t>Praktikabilität im Vollzug prüfen (Aktenstück 10)</w:t>
      </w:r>
    </w:p>
    <w:p>
      <w:pPr>
        <w:pStyle w:val="ListNumber"/>
      </w:pPr>
      <w:r>
        <w:t>Digital-/OZG-Pruefung (Aktenstück 11)</w:t>
      </w:r>
    </w:p>
    <w:p>
      <w:pPr>
        <w:pStyle w:val="ListNumber"/>
      </w:pPr>
      <w:r>
        <w:t>Stellungnahme-Drafting (Aktenstück 13, 14)</w:t>
      </w:r>
    </w:p>
    <w:p>
      <w:pPr>
        <w:pStyle w:val="Heading2"/>
      </w:pPr>
      <w:r>
        <w:rPr>
          <w:rFonts w:ascii="Times New Roman" w:hAnsi="Times New Roman"/>
        </w:rPr>
        <w:t>5. Empfehlung</w:t>
      </w:r>
    </w:p>
    <w:p>
      <w:pPr>
        <w:jc w:val="left"/>
      </w:pPr>
      <w:r>
        <w:t xml:space="preserve">Stellungnahme mit </w:t>
      </w:r>
      <w:r>
        <w:rPr>
          <w:b/>
        </w:rPr>
        <w:t>mittlerer bis hoher Kritikintensität</w:t>
      </w:r>
      <w:r>
        <w:t xml:space="preserve"> vorbereiten. Erforderlichkeit positiv ausweisen, Ausgestaltung deutlich kritisieren, alternativen Lösungsvorschlag mitliefern. NKR sollte sich hier als konstruktiv-mahnende Stimme positionieren — das entspricht der Funktion nach NKRG.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Ressort: BMJ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Ressort: BMJ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Abteilung R, Referat R B 5 (Gerichtliche Verfahrensrecht)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