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Referentenentwurf ElErrHandRegG — Eckpunkte</w:t>
      </w:r>
    </w:p>
    <w:p>
      <w:pPr>
        <w:jc w:val="left"/>
      </w:pPr>
      <w:r>
        <w:rPr>
          <w:b/>
        </w:rPr>
        <w:t>Quelle:</w:t>
      </w:r>
      <w:r>
        <w:t xml:space="preserve"> BMJ-Referentenentwurf vom 14.04.2026, Az. R B 5 — 88/2026</w:t>
      </w:r>
    </w:p>
    <w:p>
      <w:pPr>
        <w:pStyle w:val="Heading2"/>
      </w:pPr>
      <w:r>
        <w:rPr>
          <w:rFonts w:ascii="Times New Roman" w:hAnsi="Times New Roman"/>
        </w:rPr>
        <w:t>A. Pflicht zur elektronischen Erreichbarkeit (§ 1 ff.)</w:t>
      </w:r>
    </w:p>
    <w:p>
      <w:pPr>
        <w:jc w:val="left"/>
      </w:pPr>
      <w:r>
        <w:t xml:space="preserve">§ 1 ElErrHandRegG: </w:t>
      </w:r>
      <w:r>
        <w:rPr>
          <w:b/>
        </w:rPr>
        <w:t>Jede im Handelsregister eingetragene Gesellschaft</w:t>
      </w:r>
      <w:r>
        <w:t xml:space="preserve"> hat einen elektronischen Zustellungs-Kanal vorzuhalten, über den ihr Klagen, Bescheide und gerichtliche Verfügungen wirksam zugestellt werden können.</w:t>
      </w:r>
    </w:p>
    <w:p>
      <w:pPr>
        <w:jc w:val="left"/>
      </w:pPr>
      <w:r>
        <w:t>§ 2 Erfasste Rechtsträger:</w:t>
      </w:r>
    </w:p>
    <w:p>
      <w:pPr>
        <w:pStyle w:val="ListNumber"/>
      </w:pPr>
      <w:r>
        <w:t>GmbH und UG (haftungsbeschraenkt)</w:t>
      </w:r>
    </w:p>
    <w:p>
      <w:pPr>
        <w:pStyle w:val="ListNumber"/>
      </w:pPr>
      <w:r>
        <w:t>AG, SE, KGaA</w:t>
      </w:r>
    </w:p>
    <w:p>
      <w:pPr>
        <w:pStyle w:val="ListNumber"/>
      </w:pPr>
      <w:r>
        <w:t>OHG, KG, GmbH &amp; Co. KG</w:t>
      </w:r>
    </w:p>
    <w:p>
      <w:pPr>
        <w:pStyle w:val="ListNumber"/>
      </w:pPr>
      <w:r>
        <w:t>Eingetragener Kaufmann (e.K.) ab einer Mindestschwelle (Jahresumsatz 600.000 EUR — strittig)</w:t>
      </w:r>
    </w:p>
    <w:p>
      <w:pPr>
        <w:pStyle w:val="ListNumber"/>
      </w:pPr>
      <w:r>
        <w:t>Ausländische Gesellschaften mit deutscher Zweigniederlassung</w:t>
      </w:r>
    </w:p>
    <w:p>
      <w:pPr>
        <w:pStyle w:val="ListNumber"/>
      </w:pPr>
      <w:r>
        <w:t>Eingetragene Genossenschaft</w:t>
      </w:r>
    </w:p>
    <w:p>
      <w:pPr>
        <w:pStyle w:val="Heading2"/>
      </w:pPr>
      <w:r>
        <w:rPr>
          <w:rFonts w:ascii="Times New Roman" w:hAnsi="Times New Roman"/>
        </w:rPr>
        <w:t>B. Drei technische Standards (§ 3)</w:t>
      </w:r>
    </w:p>
    <w:p>
      <w:pPr>
        <w:jc w:val="left"/>
      </w:pPr>
      <w:r>
        <w:t>Die Gesellschaft kann wählen zwischen:</w:t>
      </w:r>
    </w:p>
    <w:p>
      <w:pPr>
        <w:jc w:val="left"/>
      </w:pPr>
      <w:r>
        <w:t xml:space="preserve">a) </w:t>
      </w:r>
      <w:r>
        <w:rPr>
          <w:b/>
        </w:rPr>
        <w:t>beA</w:t>
      </w:r>
      <w:r>
        <w:t xml:space="preserve"> (besonderes elektronisches Anwaltspostfach des § 31a BRAO — wo Anwaltskanzlei das Postfach betreibt)</w:t>
      </w:r>
    </w:p>
    <w:p>
      <w:pPr>
        <w:jc w:val="left"/>
      </w:pPr>
      <w:r>
        <w:t xml:space="preserve">b) </w:t>
      </w:r>
      <w:r>
        <w:rPr>
          <w:b/>
        </w:rPr>
        <w:t>De-Mail</w:t>
      </w:r>
      <w:r>
        <w:t xml:space="preserve"> (De-Mail-Gesetz)</w:t>
      </w:r>
    </w:p>
    <w:p>
      <w:pPr>
        <w:jc w:val="left"/>
      </w:pPr>
      <w:r>
        <w:t xml:space="preserve">c) </w:t>
      </w:r>
      <w:r>
        <w:rPr>
          <w:b/>
        </w:rPr>
        <w:t>qualifizierter eIDAS-konformer Mailbox-Dienst</w:t>
      </w:r>
      <w:r>
        <w:t xml:space="preserve"> (gemäß Art. 25 VO (EU) 910/2014 — eIDAS)</w:t>
      </w:r>
    </w:p>
    <w:p>
      <w:pPr>
        <w:jc w:val="left"/>
      </w:pPr>
      <w:r>
        <w:rPr>
          <w:b/>
        </w:rPr>
        <w:t>Kritisch:</w:t>
      </w:r>
      <w:r>
        <w:t xml:space="preserve"> Keine Pruefung der </w:t>
      </w:r>
      <w:r>
        <w:rPr>
          <w:b/>
        </w:rPr>
        <w:t>Interoperabilität</w:t>
      </w:r>
      <w:r>
        <w:t xml:space="preserve">; keine Klarstellung, ob das </w:t>
      </w:r>
      <w:r>
        <w:rPr>
          <w:b/>
        </w:rPr>
        <w:t>EUDI-Wallet</w:t>
      </w:r>
      <w:r>
        <w:t xml:space="preserve"> (EU Digital Identity Wallet) ab 2026 zwingend zu unterstützen ist.</w:t>
      </w:r>
    </w:p>
    <w:p>
      <w:pPr>
        <w:pStyle w:val="Heading2"/>
      </w:pPr>
      <w:r>
        <w:rPr>
          <w:rFonts w:ascii="Times New Roman" w:hAnsi="Times New Roman"/>
        </w:rPr>
        <w:t>C. Lebensbescheid (§ 4)</w:t>
      </w:r>
    </w:p>
    <w:p>
      <w:pPr>
        <w:jc w:val="left"/>
      </w:pPr>
      <w:r>
        <w:t xml:space="preserve">Die Gesellschaft hat </w:t>
      </w:r>
      <w:r>
        <w:rPr>
          <w:b/>
        </w:rPr>
        <w:t>monatlich</w:t>
      </w:r>
      <w:r>
        <w:t xml:space="preserve"> durch elektronischen Bescheid an das </w:t>
      </w:r>
      <w:r>
        <w:rPr>
          <w:b/>
        </w:rPr>
        <w:t>zuständige Amtsgericht (Handelsregistergericht)</w:t>
      </w:r>
      <w:r>
        <w:t xml:space="preserve"> zu bestätigen, dass die elektronische Adresse weiterhin funktionsfähig ist.</w:t>
      </w:r>
    </w:p>
    <w:p>
      <w:pPr>
        <w:jc w:val="left"/>
      </w:pPr>
      <w:r>
        <w:rPr>
          <w:b/>
        </w:rPr>
        <w:t>Folge bei Versäumnis:</w:t>
      </w:r>
    </w:p>
    <w:p>
      <w:pPr>
        <w:pStyle w:val="ListBullet"/>
      </w:pPr>
      <w:r>
        <w:t>1. Mahnung kostenfrei</w:t>
      </w:r>
    </w:p>
    <w:p>
      <w:pPr>
        <w:pStyle w:val="ListBullet"/>
      </w:pPr>
      <w:r>
        <w:t>2. Mahnung 250 EUR</w:t>
      </w:r>
    </w:p>
    <w:p>
      <w:pPr>
        <w:pStyle w:val="ListBullet"/>
      </w:pPr>
      <w:r>
        <w:t>3. Mahnung 1.000 EUR</w:t>
      </w:r>
    </w:p>
    <w:p>
      <w:pPr>
        <w:pStyle w:val="ListBullet"/>
      </w:pPr>
      <w:r>
        <w:t>Zwangsgeld bis 50.000 EUR</w:t>
      </w:r>
    </w:p>
    <w:p>
      <w:pPr>
        <w:pStyle w:val="ListBullet"/>
      </w:pPr>
      <w:r>
        <w:t>Im Wiederholungsfall: Löschung aus Handelsregister analog § 394 FamFG</w:t>
      </w:r>
    </w:p>
    <w:p>
      <w:pPr>
        <w:pStyle w:val="Heading2"/>
      </w:pPr>
      <w:r>
        <w:rPr>
          <w:rFonts w:ascii="Times New Roman" w:hAnsi="Times New Roman"/>
        </w:rPr>
        <w:t>D. Inlandsvertreter für ausländische Gesellschaften (§ 5)</w:t>
      </w:r>
    </w:p>
    <w:p>
      <w:pPr>
        <w:jc w:val="left"/>
      </w:pPr>
      <w:r>
        <w:t>Ausländische Gesellschaften mit deutscher Zweigniederlassung müssen einen "elektronisch erreichbaren Inlandsvertreter" benennen, der die Zustellungen entgegennimmt.</w:t>
      </w:r>
    </w:p>
    <w:p>
      <w:pPr>
        <w:jc w:val="left"/>
      </w:pPr>
      <w:r>
        <w:rPr>
          <w:b/>
        </w:rPr>
        <w:t>Analogie:</w:t>
      </w:r>
      <w:r>
        <w:t xml:space="preserve"> § 184 ZPO (Auslandszustellung), aber: keine Klarstellung zum Verhältnis zur </w:t>
      </w:r>
      <w:r>
        <w:rPr>
          <w:b/>
        </w:rPr>
        <w:t>Brüssel-Ia-VO Art. 64</w:t>
      </w:r>
      <w:r>
        <w:t xml:space="preserve"> (Zustellung in EU-Mitgliedstaaten).</w:t>
      </w:r>
    </w:p>
    <w:p>
      <w:pPr>
        <w:pStyle w:val="Heading2"/>
      </w:pPr>
      <w:r>
        <w:rPr>
          <w:rFonts w:ascii="Times New Roman" w:hAnsi="Times New Roman"/>
        </w:rPr>
        <w:t>E. Vertraulichkeit und Datenschutz (§ 6)</w:t>
      </w:r>
    </w:p>
    <w:p>
      <w:pPr>
        <w:jc w:val="left"/>
      </w:pPr>
      <w:r>
        <w:t>Verweis auf DSGVO Art. 6, 32; keine spezifischen Regelungen zu:</w:t>
      </w:r>
    </w:p>
    <w:p>
      <w:pPr>
        <w:pStyle w:val="ListBullet"/>
      </w:pPr>
      <w:r>
        <w:t>Aufbewahrung der elektronisch zugestellten Schreiben (LSP-Pflicht?)</w:t>
      </w:r>
    </w:p>
    <w:p>
      <w:pPr>
        <w:pStyle w:val="ListBullet"/>
      </w:pPr>
      <w:r>
        <w:t>Sicherheits-Standards der drei Mailbox-Dienste</w:t>
      </w:r>
    </w:p>
    <w:p>
      <w:pPr>
        <w:pStyle w:val="ListBullet"/>
      </w:pPr>
      <w:r>
        <w:t>Notfall-Wechsel bei Anbieter-Insolvenz</w:t>
      </w:r>
    </w:p>
    <w:p>
      <w:pPr>
        <w:pStyle w:val="Heading2"/>
      </w:pPr>
      <w:r>
        <w:rPr>
          <w:rFonts w:ascii="Times New Roman" w:hAnsi="Times New Roman"/>
        </w:rPr>
        <w:t>F. Sanktionen (§ 7)</w:t>
      </w:r>
    </w:p>
    <w:p>
      <w:pPr>
        <w:jc w:val="left"/>
      </w:pPr>
      <w:r>
        <w:t>Zusätzlich zur unter C genannten Löschung:</w:t>
      </w:r>
    </w:p>
    <w:p>
      <w:pPr>
        <w:pStyle w:val="ListBullet"/>
      </w:pPr>
      <w:r>
        <w:rPr>
          <w:b/>
        </w:rPr>
        <w:t>Bussgeldtatbestand</w:t>
      </w:r>
      <w:r>
        <w:t>: Vorsätzlicher Verstoss bis 25.000 EUR (§ 7 Abs. 1)</w:t>
      </w:r>
    </w:p>
    <w:p>
      <w:pPr>
        <w:pStyle w:val="ListBullet"/>
      </w:pPr>
      <w:r>
        <w:rPr>
          <w:b/>
        </w:rPr>
        <w:t>Geschäftsführer-Haftung</w:t>
      </w:r>
      <w:r>
        <w:t>: persönliche Inanspruchnahme bei wiederholtem Verstoss (§ 7 Abs. 2 — Verweis auf § 43 GmbHG, § 93 AktG)</w:t>
      </w:r>
    </w:p>
    <w:p>
      <w:pPr>
        <w:pStyle w:val="Heading2"/>
      </w:pPr>
      <w:r>
        <w:rPr>
          <w:rFonts w:ascii="Times New Roman" w:hAnsi="Times New Roman"/>
        </w:rPr>
        <w:t>G. Übergangsregelung (§ 12)</w:t>
      </w:r>
    </w:p>
    <w:p>
      <w:pPr>
        <w:pStyle w:val="ListBullet"/>
      </w:pPr>
      <w:r>
        <w:t xml:space="preserve">Inkrafttreten </w:t>
      </w:r>
      <w:r>
        <w:rPr>
          <w:b/>
        </w:rPr>
        <w:t>01.01.2027</w:t>
      </w:r>
    </w:p>
    <w:p>
      <w:pPr>
        <w:pStyle w:val="ListBullet"/>
      </w:pPr>
      <w:r>
        <w:t>Bestehende Gesellschaften: Einrichtungspflicht bis 30.06.2027 (sechs Monate)</w:t>
      </w:r>
    </w:p>
    <w:p>
      <w:pPr>
        <w:pStyle w:val="ListBullet"/>
      </w:pPr>
      <w:r>
        <w:t>Neugründungen ab Inkrafttreten: sofort</w:t>
      </w:r>
    </w:p>
    <w:p>
      <w:pPr>
        <w:pStyle w:val="Heading2"/>
      </w:pPr>
      <w:r>
        <w:rPr>
          <w:rFonts w:ascii="Times New Roman" w:hAnsi="Times New Roman"/>
        </w:rPr>
        <w:t>NKR-Erstbewertung dieser Eckpunkte</w:t>
      </w:r>
    </w:p>
    <w:p>
      <w:pPr>
        <w:jc w:val="left"/>
      </w:pPr>
      <w:r>
        <w:t>Die drei kritischsten Punkte:</w:t>
      </w:r>
    </w:p>
    <w:p>
      <w:pPr>
        <w:pStyle w:val="ListNumber"/>
      </w:pPr>
      <w:r>
        <w:rPr>
          <w:b/>
        </w:rPr>
        <w:t>Dezentralisierung mit drei Standards</w:t>
      </w:r>
      <w:r>
        <w:t xml:space="preserve"> (§ 3) erzeugt erheblichen Inter-Operability-Aufwand bei Wirtschaft und Justiz.</w:t>
      </w:r>
    </w:p>
    <w:p>
      <w:pPr>
        <w:pStyle w:val="ListNumber"/>
      </w:pPr>
      <w:r>
        <w:rPr>
          <w:b/>
        </w:rPr>
        <w:t>Monatliche Lebensbescheide</w:t>
      </w:r>
      <w:r>
        <w:t xml:space="preserve"> (§ 4) sind unverhaeltnismaessig; vierteljährlich oder jährlich reicht.</w:t>
      </w:r>
    </w:p>
    <w:p>
      <w:pPr>
        <w:pStyle w:val="ListNumber"/>
      </w:pPr>
      <w:r>
        <w:rPr>
          <w:b/>
        </w:rPr>
        <w:t>Loeschungssanktion</w:t>
      </w:r>
      <w:r>
        <w:t xml:space="preserve"> bei Verstoss gegen Lebensbescheid-Pflicht (§ 4 i.V.m. § 7) ist KMU-feindlich und steht in keinem Verhältnis zum Schutzzweck.</w:t>
      </w:r>
    </w:p>
    <w:p>
      <w:pPr>
        <w:jc w:val="left"/>
      </w:pPr>
      <w:r>
        <w:t>Die NKR-Stellungnahme wird genau diese drei Punkte adressieren — siehe Aktenstück 13/14.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GmbH &amp; Co. KG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GmbH &amp; Co. KG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 · Az. R B 5 — 88/2026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