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Erfuellungsaufwand-Berechnung Verwaltung — Szenario A: ca. 180 Mio EUR p.a.</w:t>
      </w:r>
    </w:p>
    <w:p>
      <w:pPr>
        <w:pStyle w:val="Heading2"/>
      </w:pPr>
      <w:r>
        <w:rPr>
          <w:rFonts w:ascii="Times New Roman" w:hAnsi="Times New Roman"/>
        </w:rPr>
        <w:t>1. Betroffene Verwaltung</w:t>
      </w:r>
    </w:p>
    <w:p>
      <w:pPr>
        <w:pStyle w:val="ListBullet"/>
      </w:pPr>
      <w:r>
        <w:rPr>
          <w:b/>
        </w:rPr>
        <w:t>Handelsregistergerichte</w:t>
      </w:r>
      <w:r>
        <w:t xml:space="preserve"> (Amtsgerichte): ca. 117 Gerichte mit Handelsregister-Zuständigkeit (BfJ)</w:t>
      </w:r>
    </w:p>
    <w:p>
      <w:pPr>
        <w:pStyle w:val="ListBullet"/>
      </w:pPr>
      <w:r>
        <w:rPr>
          <w:b/>
        </w:rPr>
        <w:t>Bundesjustizamt (BfJ)</w:t>
      </w:r>
      <w:r>
        <w:t>: technische Koordination</w:t>
      </w:r>
    </w:p>
    <w:p>
      <w:pPr>
        <w:pStyle w:val="ListBullet"/>
      </w:pPr>
      <w:r>
        <w:rPr>
          <w:b/>
        </w:rPr>
        <w:t>OLG-Praesidialverwaltung</w:t>
      </w:r>
      <w:r>
        <w:t>: Aufsicht, Streitfallentscheidung</w:t>
      </w:r>
    </w:p>
    <w:p>
      <w:pPr>
        <w:pStyle w:val="ListBullet"/>
      </w:pPr>
      <w:r>
        <w:rPr>
          <w:b/>
        </w:rPr>
        <w:t>Bundesministerium der Justiz</w:t>
      </w:r>
      <w:r>
        <w:t>: Rechtsverordnungen, Anbieter-Akkreditierung</w:t>
      </w:r>
    </w:p>
    <w:p>
      <w:pPr>
        <w:pStyle w:val="Heading2"/>
      </w:pPr>
      <w:r>
        <w:rPr>
          <w:rFonts w:ascii="Times New Roman" w:hAnsi="Times New Roman"/>
        </w:rPr>
        <w:t>2. Einmaliger Erfuellungsaufwand (Einrichtungsphase)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Schätzung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IT-Anbindung 117 Amtsgerichte an drei Standards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95 Mio EUR (einmalig)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Schulung Personal (ca. 3.500 RichterInnen / RechtspflegerInnen)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Anbieter-Akkreditierung BfJ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Verfahrensanpassungen (e-Akte, Zustellungsprotokolle)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25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Einmalig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132 Mio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Jährlich-laufender Erfuellungsaufwand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Schätzung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Bearbeitung 1,8 Mio Lebensbescheide × 12 = 21,3 Mio Bescheide p.a. (Stichproben + Mahnungen + Sanktionsverfahren)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75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Anbieter-Aufsicht und Sicherheits-Audits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18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Loeschungs- und Zwangsgeld-Verfahren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45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Streitfallbearbeitung (Beschwerden gegen Zwangsgeld)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22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Pflege Datenbank-Infrastruktur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12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Personalkosten BfJ-Koordination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Jährlich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180 Mio EUR p.a.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Vergleich BMJ-Schätzung</w:t>
      </w:r>
    </w:p>
    <w:p>
      <w:pPr>
        <w:jc w:val="left"/>
      </w:pPr>
      <w:r>
        <w:t xml:space="preserve">Das BMJ schätzt für die Verwaltung </w:t>
      </w:r>
      <w:r>
        <w:rPr>
          <w:b/>
        </w:rPr>
        <w:t>130 Mio EUR p.a.</w:t>
      </w:r>
      <w:r>
        <w:t xml:space="preserve">, NKR </w:t>
      </w:r>
      <w:r>
        <w:rPr>
          <w:b/>
        </w:rPr>
        <w:t>180 Mio EUR p.a.</w:t>
      </w:r>
      <w:r>
        <w:t xml:space="preserve"> (Bandbreite 150-210). Differenz: </w:t>
      </w:r>
      <w:r>
        <w:rPr>
          <w:b/>
        </w:rPr>
        <w:t>+38 %</w:t>
      </w:r>
      <w:r>
        <w:t>. BMJ unterschätzt insbesondere:</w:t>
      </w:r>
    </w:p>
    <w:p>
      <w:pPr>
        <w:pStyle w:val="ListBullet"/>
      </w:pPr>
      <w:r>
        <w:t>die Bearbeitungstiefe der monatlichen Lebensbescheide</w:t>
      </w:r>
    </w:p>
    <w:p>
      <w:pPr>
        <w:pStyle w:val="ListBullet"/>
      </w:pPr>
      <w:r>
        <w:t>die Streitfälle aus Zwangsgeld-Verfahren</w:t>
      </w:r>
    </w:p>
    <w:p>
      <w:pPr>
        <w:pStyle w:val="ListBullet"/>
      </w:pPr>
      <w:r>
        <w:t>die Personalbindung in der OLG-Praesidialverwaltung</w:t>
      </w:r>
    </w:p>
    <w:p>
      <w:pPr>
        <w:pStyle w:val="Heading2"/>
      </w:pPr>
      <w:r>
        <w:rPr>
          <w:rFonts w:ascii="Times New Roman" w:hAnsi="Times New Roman"/>
        </w:rPr>
        <w:t>5. Mahnender Hinweis</w:t>
      </w:r>
    </w:p>
    <w:p>
      <w:pPr>
        <w:jc w:val="left"/>
      </w:pPr>
      <w:r>
        <w:t xml:space="preserve">Das jährliche Belastungsvolumen für die Justiz (180 Mio EUR p.a.) ist </w:t>
      </w:r>
      <w:r>
        <w:rPr>
          <w:b/>
        </w:rPr>
        <w:t>vergleichbar mit den jährlichen Kosten der Anwaltlichen Pflichtverteidigung in Strafsachen</w:t>
      </w:r>
      <w:r>
        <w:t xml:space="preserve"> (zum Vergleich, BfJ-Statistik). Das ist ein erheblicher Justizressourcen-Aufwand für ein Vorhaben, das mit einer zentralen Lösung (Szenario B) auf </w:t>
      </w:r>
      <w:r>
        <w:rPr>
          <w:b/>
        </w:rPr>
        <w:t>45 Mio EUR p.a.</w:t>
      </w:r>
      <w:r>
        <w:t xml:space="preserve"> sinken würde.</w:t>
      </w:r>
    </w:p>
    <w:p>
      <w:pPr>
        <w:pStyle w:val="Heading2"/>
      </w:pPr>
      <w:r>
        <w:rPr>
          <w:rFonts w:ascii="Times New Roman" w:hAnsi="Times New Roman"/>
        </w:rPr>
        <w:t>6. Quelle</w:t>
      </w:r>
    </w:p>
    <w:p>
      <w:pPr>
        <w:pStyle w:val="ListBullet"/>
      </w:pPr>
      <w:r>
        <w:t>Eigene NKR-Berechnung basierend auf SKM und HdR-Leitfaden</w:t>
      </w:r>
    </w:p>
    <w:p>
      <w:pPr>
        <w:pStyle w:val="ListBullet"/>
      </w:pPr>
      <w:r>
        <w:t>Anhang: tabellen/zeitwerttabelle_und_fallzahlen.csv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Bundesministerium der Justiz: Rechtsverordnungen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Bundesministerium der Justiz: Rechtsverordnungen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Anbieter-Akkreditierung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