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Digitalcheck und OZG-Kompatibilität</w:t>
      </w:r>
    </w:p>
    <w:p>
      <w:pPr>
        <w:pStyle w:val="Heading2"/>
      </w:pPr>
      <w:r>
        <w:rPr>
          <w:rFonts w:ascii="Times New Roman" w:hAnsi="Times New Roman"/>
        </w:rPr>
        <w:t>NKR-Digitalcheck (seit 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digitale Abwicklung möglich?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im Prinzip ja — aber drei Standards fragmentieren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Bestehende Datenpools genutzt?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>. Das Handelsregister (zentral beim BfJ via Unternehmensregister) wird nicht als Datenpool genutzt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Once-Only-Prinzip eingehalten?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>. Die Gesellschaft muss bei Eintragung Adresse melden und beim Lebensbescheid wiederholt bestätigen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EUDI-Wallet-Kompatibilität?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Nicht zwingend</w:t>
            </w:r>
            <w:r>
              <w:rPr>
                <w:rFonts w:ascii="Times New Roman" w:hAnsi="Times New Roman"/>
                <w:sz w:val="20"/>
              </w:rPr>
              <w:t xml:space="preserve"> geregelt, sondern offen gelassen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API-First-Architektur?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definiert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Verbund mit Justiz-IT-System (e-Akte, beA, ...)?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Open-Source-/Standardisierungs-Ansatz?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ausgeführt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OZG-Anschlussfähigkeit</w:t>
      </w:r>
    </w:p>
    <w:p>
      <w:pPr>
        <w:jc w:val="left"/>
      </w:pPr>
      <w:r>
        <w:rPr>
          <w:b/>
        </w:rPr>
        <w:t>OZG (Onlinezugangsgesetz)</w:t>
      </w:r>
      <w:r>
        <w:t xml:space="preserve"> und </w:t>
      </w:r>
      <w:r>
        <w:rPr>
          <w:b/>
        </w:rPr>
        <w:t>OZG 2.0</w:t>
      </w:r>
      <w:r>
        <w:t xml:space="preserve"> (geplant 2026, vom Anwender zu verifizieren): das Bundesrecht soll digital über zentrale Bürgerportale erfolgen.</w:t>
      </w:r>
    </w:p>
    <w:p>
      <w:pPr>
        <w:jc w:val="left"/>
      </w:pPr>
      <w:r>
        <w:t>Das ElErrHandRegG widerspricht dieser Vereinheitlichung:</w:t>
      </w:r>
    </w:p>
    <w:p>
      <w:pPr>
        <w:pStyle w:val="ListBullet"/>
      </w:pPr>
      <w:r>
        <w:t>Stattdessen drei separate Mailbox-Standards</w:t>
      </w:r>
    </w:p>
    <w:p>
      <w:pPr>
        <w:pStyle w:val="ListBullet"/>
      </w:pPr>
      <w:r>
        <w:t>Keine Anbindung an Bürgerportale</w:t>
      </w:r>
    </w:p>
    <w:p>
      <w:pPr>
        <w:pStyle w:val="ListBullet"/>
      </w:pPr>
      <w:r>
        <w:t>Keine zentrale Verwaltung beim BfJ oder anderen Bundesbehörden</w:t>
      </w:r>
    </w:p>
    <w:p>
      <w:pPr>
        <w:jc w:val="left"/>
      </w:pPr>
      <w:r>
        <w:t xml:space="preserve">Ohne klare Anbindung an OZG ist das Vorhaben </w:t>
      </w:r>
      <w:r>
        <w:rPr>
          <w:b/>
        </w:rPr>
        <w:t>digitalpolitisch ein Rückschritt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EuGH-/EU-Bezüge</w:t>
      </w:r>
    </w:p>
    <w:p>
      <w:pPr>
        <w:pStyle w:val="ListBullet"/>
      </w:pPr>
      <w:r>
        <w:rPr>
          <w:b/>
        </w:rPr>
        <w:t>eIDAS-VO 2014</w:t>
      </w:r>
      <w:r>
        <w:t xml:space="preserve"> Art. 25: qualifizierte Vertrauensdienste, einschliesslich qualifizierter elektronischer Zustellung</w:t>
      </w:r>
    </w:p>
    <w:p>
      <w:pPr>
        <w:pStyle w:val="ListBullet"/>
      </w:pPr>
      <w:r>
        <w:rPr>
          <w:b/>
        </w:rPr>
        <w:t>eIDAS-VO 2024-Update</w:t>
      </w:r>
      <w:r>
        <w:t xml:space="preserve"> (vom Anwender zu verifizieren): EUDI-Wallet wird Pflicht ab 2026</w:t>
      </w:r>
    </w:p>
    <w:p>
      <w:pPr>
        <w:pStyle w:val="ListBullet"/>
      </w:pPr>
      <w:r>
        <w:rPr>
          <w:b/>
        </w:rPr>
        <w:t>EU-Single-Digital-Gateway-VO (EU) 2018/1724</w:t>
      </w:r>
      <w:r>
        <w:t>: Once-Only-Prinzip im EU-Wirtschaftsraum</w:t>
      </w:r>
    </w:p>
    <w:p>
      <w:pPr>
        <w:jc w:val="left"/>
      </w:pPr>
      <w:r>
        <w:t>Der Entwurf nimmt diese EU-Entwicklungen nicht systematisch auf.</w:t>
      </w:r>
    </w:p>
    <w:p>
      <w:pPr>
        <w:pStyle w:val="Heading2"/>
      </w:pPr>
      <w:r>
        <w:rPr>
          <w:rFonts w:ascii="Times New Roman" w:hAnsi="Times New Roman"/>
        </w:rPr>
        <w:t>NKR-Empfehlung zur Digital-/OZG-Kompatibilität</w:t>
      </w:r>
    </w:p>
    <w:p>
      <w:pPr>
        <w:ind w:left="567"/>
      </w:pPr>
      <w:r>
        <w:rPr>
          <w:i/>
        </w:rPr>
        <w:t>"Der NKR weist darauf hin, dass das Vorhaben mit dem Onlinezugangsgesetz und der eIDAS-VO nicht hinreichend abgestimmt ist. Eine zentrale Lösung mit Anbindung an Bürgerportale, dem EUDI-Wallet und der e-Justice-Infrastruktur des BfJ würde sowohl den nationalen Digitalisierungspfad (OZG 2.0) als auch die europäische Vorgabe (eIDAS) konsistent abbilden."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Keine zentrale Verwaltung beim BfJ oder anderen Bundesbehörden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Keine zentrale Verwaltung beim BfJ oder anderen Bundesbehörden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