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NKR-Stellungnahme zum ElErrHandRegG — Finale Fassung (28.05.2026)</w:t>
      </w:r>
    </w:p>
    <w:p>
      <w:pPr>
        <w:jc w:val="left"/>
      </w:pPr>
      <w:r>
        <w:rPr>
          <w:b/>
        </w:rPr>
        <w:t>Az.:</w:t>
      </w:r>
      <w:r>
        <w:t xml:space="preserve"> NKR-RefE-2026-088</w:t>
      </w:r>
    </w:p>
    <w:p>
      <w:pPr>
        <w:jc w:val="left"/>
      </w:pPr>
      <w:r>
        <w:rPr>
          <w:b/>
        </w:rPr>
        <w:t>Datum:</w:t>
      </w:r>
      <w:r>
        <w:t xml:space="preserve"> 28.05.2026</w:t>
      </w:r>
    </w:p>
    <w:p>
      <w:pPr>
        <w:jc w:val="left"/>
      </w:pPr>
      <w:r>
        <w:rPr>
          <w:b/>
        </w:rPr>
        <w:t>Eingereicht beim:</w:t>
      </w:r>
      <w:r>
        <w:t xml:space="preserve"> Bundesministerium der Justiz, Referat R B 5</w:t>
      </w:r>
    </w:p>
    <w:p>
      <w:pPr>
        <w:jc w:val="left"/>
      </w:pPr>
      <w:r>
        <w:rPr>
          <w:b/>
        </w:rPr>
        <w:t>Beizufügen den Kabinettsunterlagen gemäß § 6 Abs. 4 NKRG</w:t>
      </w:r>
    </w:p>
    <w:p/>
    <w:p>
      <w:pPr>
        <w:pStyle w:val="Heading2"/>
      </w:pPr>
      <w:r>
        <w:rPr>
          <w:rFonts w:ascii="Times New Roman" w:hAnsi="Times New Roman"/>
        </w:rPr>
        <w:t>Nationaler Normenkontrollrat</w:t>
      </w:r>
    </w:p>
    <w:p>
      <w:pPr>
        <w:jc w:val="left"/>
      </w:pPr>
      <w:r>
        <w:rPr>
          <w:b/>
        </w:rPr>
        <w:t>Stellungnahme</w:t>
      </w:r>
    </w:p>
    <w:p>
      <w:pPr>
        <w:jc w:val="left"/>
      </w:pPr>
      <w:r>
        <w:rPr>
          <w:b/>
        </w:rPr>
        <w:t>zum Referentenentwurf des Bundesministeriums der Justiz für ein Gesetz zur Verbesserung der elektronischen Erreichbarkeit von im Handelsregister eingetragenen Gesellschaften (ElErrHandRegG)</w:t>
      </w:r>
    </w:p>
    <w:p>
      <w:pPr>
        <w:jc w:val="left"/>
      </w:pPr>
      <w:r>
        <w:t>Der Nationale Normenkontrollrat hat den Entwurf gemäß § 4 NKRG geprüft.</w:t>
      </w:r>
    </w:p>
    <w:p>
      <w:pPr>
        <w:pStyle w:val="Heading3"/>
      </w:pPr>
      <w:r>
        <w:rPr>
          <w:rFonts w:ascii="Times New Roman" w:hAnsi="Times New Roman"/>
        </w:rPr>
        <w:t>A. Zusammenfassung</w:t>
      </w:r>
    </w:p>
    <w:p>
      <w:pPr>
        <w:jc w:val="left"/>
      </w:pPr>
      <w:r>
        <w:t>Der NKR teilt die Auffassung des Bundesministeriums der Justiz, dass eine Regelung der elektronischen Erreichbarkeit von im Handelsregister eingetragenen Gesellschaften erforderlich ist. Die in der Begründung angesprochenen Probleme der gerichtlichen Zustellung an deutsche und insbesondere an ausländische Gesellschaften sind durch belastbare Justizpraxis dokumentiert.</w:t>
      </w:r>
    </w:p>
    <w:p>
      <w:pPr>
        <w:jc w:val="left"/>
      </w:pPr>
      <w:r>
        <w:t xml:space="preserve">Der NKR weist jedoch mit Nachdruck darauf hin, dass die im Entwurf vorgesehene </w:t>
      </w:r>
      <w:r>
        <w:rPr>
          <w:b/>
        </w:rPr>
        <w:t>konkrete Ausgestaltung</w:t>
      </w:r>
      <w:r>
        <w:t xml:space="preserve"> den Erfuellungsaufwand für Wirtschaft und Verwaltung erheblich und unverhaeltnismaessig erhöht. Bei einer alternativen zentralen Architektur, wie sie der NKR vorschlägt, könnte das Regelungsziel mit rund einem Viertel des Aufwands erreicht werden.</w:t>
      </w:r>
    </w:p>
    <w:p>
      <w:pPr>
        <w:jc w:val="left"/>
      </w:pPr>
      <w:r>
        <w:t>Der NKR empfiehlt eine grundlegende Überarbeitung des Entwurfs entlang der in Abschnitt E genannten Eckpunkte.</w:t>
      </w:r>
    </w:p>
    <w:p>
      <w:pPr>
        <w:pStyle w:val="Heading3"/>
      </w:pPr>
      <w:r>
        <w:rPr>
          <w:rFonts w:ascii="Times New Roman" w:hAnsi="Times New Roman"/>
        </w:rPr>
        <w:t>B. Erfuellungsaufwand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Aufwandsart</w:t>
            </w:r>
          </w:p>
        </w:tc>
        <w:tc>
          <w:tcPr>
            <w:tcW w:type="dxa" w:w="3024"/>
          </w:tcPr>
          <w:p>
            <w:r>
              <w:rPr>
                <w:rFonts w:ascii="Times New Roman" w:hAnsi="Times New Roman"/>
                <w:b/>
                <w:sz w:val="20"/>
              </w:rPr>
              <w:t>Ressort-Schätzung</w:t>
            </w:r>
          </w:p>
        </w:tc>
        <w:tc>
          <w:tcPr>
            <w:tcW w:type="dxa" w:w="3024"/>
          </w:tcPr>
          <w:p>
            <w:r>
              <w:rPr>
                <w:rFonts w:ascii="Times New Roman" w:hAnsi="Times New Roman"/>
                <w:b/>
                <w:sz w:val="20"/>
              </w:rPr>
              <w:t>NKR-Schätzung</w:t>
            </w:r>
          </w:p>
        </w:tc>
      </w:tr>
      <w:tr>
        <w:tc>
          <w:tcPr>
            <w:tcW w:type="dxa" w:w="3024"/>
          </w:tcPr>
          <w:p>
            <w:r>
              <w:rPr>
                <w:rFonts w:ascii="Times New Roman" w:hAnsi="Times New Roman"/>
                <w:sz w:val="20"/>
              </w:rPr>
              <w:t>Wirtschaft, jährlich</w:t>
            </w:r>
          </w:p>
        </w:tc>
        <w:tc>
          <w:tcPr>
            <w:tcW w:type="dxa" w:w="3024"/>
          </w:tcPr>
          <w:p>
            <w:r>
              <w:rPr>
                <w:rFonts w:ascii="Times New Roman" w:hAnsi="Times New Roman"/>
                <w:sz w:val="20"/>
              </w:rPr>
              <w:t>280 Mio EUR</w:t>
            </w:r>
          </w:p>
        </w:tc>
        <w:tc>
          <w:tcPr>
            <w:tcW w:type="dxa" w:w="3024"/>
          </w:tcPr>
          <w:p>
            <w:r>
              <w:rPr>
                <w:rFonts w:ascii="Times New Roman" w:hAnsi="Times New Roman"/>
                <w:b/>
                <w:sz w:val="20"/>
              </w:rPr>
              <w:t>320 Mio EUR</w:t>
            </w:r>
            <w:r>
              <w:rPr>
                <w:rFonts w:ascii="Times New Roman" w:hAnsi="Times New Roman"/>
                <w:sz w:val="20"/>
              </w:rPr>
              <w:t xml:space="preserve"> (280–360 Mio)</w:t>
            </w:r>
          </w:p>
        </w:tc>
      </w:tr>
      <w:tr>
        <w:tc>
          <w:tcPr>
            <w:tcW w:type="dxa" w:w="3024"/>
          </w:tcPr>
          <w:p>
            <w:r>
              <w:rPr>
                <w:rFonts w:ascii="Times New Roman" w:hAnsi="Times New Roman"/>
                <w:sz w:val="20"/>
              </w:rPr>
              <w:t>Verwaltung, jährlich</w:t>
            </w:r>
          </w:p>
        </w:tc>
        <w:tc>
          <w:tcPr>
            <w:tcW w:type="dxa" w:w="3024"/>
          </w:tcPr>
          <w:p>
            <w:r>
              <w:rPr>
                <w:rFonts w:ascii="Times New Roman" w:hAnsi="Times New Roman"/>
                <w:sz w:val="20"/>
              </w:rPr>
              <w:t>130 Mio EUR</w:t>
            </w:r>
          </w:p>
        </w:tc>
        <w:tc>
          <w:tcPr>
            <w:tcW w:type="dxa" w:w="3024"/>
          </w:tcPr>
          <w:p>
            <w:r>
              <w:rPr>
                <w:rFonts w:ascii="Times New Roman" w:hAnsi="Times New Roman"/>
                <w:b/>
                <w:sz w:val="20"/>
              </w:rPr>
              <w:t>180 Mio EUR</w:t>
            </w:r>
            <w:r>
              <w:rPr>
                <w:rFonts w:ascii="Times New Roman" w:hAnsi="Times New Roman"/>
                <w:sz w:val="20"/>
              </w:rPr>
              <w:t xml:space="preserve"> (150–210 Mio)</w:t>
            </w:r>
          </w:p>
        </w:tc>
      </w:tr>
      <w:tr>
        <w:tc>
          <w:tcPr>
            <w:tcW w:type="dxa" w:w="3024"/>
          </w:tcPr>
          <w:p>
            <w:r>
              <w:rPr>
                <w:rFonts w:ascii="Times New Roman" w:hAnsi="Times New Roman"/>
                <w:sz w:val="20"/>
              </w:rPr>
              <w:t>Wirtschaft, einmalig</w:t>
            </w:r>
          </w:p>
        </w:tc>
        <w:tc>
          <w:tcPr>
            <w:tcW w:type="dxa" w:w="3024"/>
          </w:tcPr>
          <w:p>
            <w:r>
              <w:rPr>
                <w:rFonts w:ascii="Times New Roman" w:hAnsi="Times New Roman"/>
                <w:sz w:val="20"/>
              </w:rPr>
              <w:t>320 Mio EUR</w:t>
            </w:r>
          </w:p>
        </w:tc>
        <w:tc>
          <w:tcPr>
            <w:tcW w:type="dxa" w:w="3024"/>
          </w:tcPr>
          <w:p>
            <w:r>
              <w:rPr>
                <w:rFonts w:ascii="Times New Roman" w:hAnsi="Times New Roman"/>
                <w:sz w:val="20"/>
              </w:rPr>
              <w:t>379 Mio EUR</w:t>
            </w:r>
          </w:p>
        </w:tc>
      </w:tr>
      <w:tr>
        <w:tc>
          <w:tcPr>
            <w:tcW w:type="dxa" w:w="3024"/>
          </w:tcPr>
          <w:p>
            <w:r>
              <w:rPr>
                <w:rFonts w:ascii="Times New Roman" w:hAnsi="Times New Roman"/>
                <w:sz w:val="20"/>
              </w:rPr>
              <w:t>Verwaltung, einmalig</w:t>
            </w:r>
          </w:p>
        </w:tc>
        <w:tc>
          <w:tcPr>
            <w:tcW w:type="dxa" w:w="3024"/>
          </w:tcPr>
          <w:p>
            <w:r>
              <w:rPr>
                <w:rFonts w:ascii="Times New Roman" w:hAnsi="Times New Roman"/>
                <w:sz w:val="20"/>
              </w:rPr>
              <w:t>110 Mio EUR</w:t>
            </w:r>
          </w:p>
        </w:tc>
        <w:tc>
          <w:tcPr>
            <w:tcW w:type="dxa" w:w="3024"/>
          </w:tcPr>
          <w:p>
            <w:r>
              <w:rPr>
                <w:rFonts w:ascii="Times New Roman" w:hAnsi="Times New Roman"/>
                <w:sz w:val="20"/>
              </w:rPr>
              <w:t>132 Mio EUR</w:t>
            </w:r>
          </w:p>
        </w:tc>
      </w:tr>
    </w:tbl>
    <w:p>
      <w:pPr>
        <w:jc w:val="left"/>
      </w:pPr>
      <w:r>
        <w:t>Die NKR-Schätzung berechnet sich nach dem Leitfaden zur Ermittlung und Darstellung des Erfuellungsaufwands und unter Anwendung des Standardkostenmodells. Wesentliche Differenzen zum Ressort-Vortrag:</w:t>
      </w:r>
    </w:p>
    <w:p>
      <w:pPr>
        <w:pStyle w:val="ListBullet"/>
      </w:pPr>
      <w:r>
        <w:rPr>
          <w:b/>
        </w:rPr>
        <w:t>Lebensbescheid-Pflicht</w:t>
      </w:r>
      <w:r>
        <w:t>: Das Ressort unterschätzt den jährlichen Aufwand von zwölf Bescheiden pro Gesellschaft.</w:t>
      </w:r>
    </w:p>
    <w:p>
      <w:pPr>
        <w:pStyle w:val="ListBullet"/>
      </w:pPr>
      <w:r>
        <w:rPr>
          <w:b/>
        </w:rPr>
        <w:t>Anbieter-Gebühren</w:t>
      </w:r>
      <w:r>
        <w:t>: Die drei zugelassenen Standards erheben Gebühren von im Schnitt 45 EUR p.a.; das Ressort hat diese mit 25 EUR angesetzt.</w:t>
      </w:r>
    </w:p>
    <w:p>
      <w:pPr>
        <w:pStyle w:val="ListBullet"/>
      </w:pPr>
      <w:r>
        <w:rPr>
          <w:b/>
        </w:rPr>
        <w:t>KMU-spezifische Compliance-Ineffizienz</w:t>
      </w:r>
      <w:r>
        <w:t>: Ohne eigene IT-Abteilung müssen KMU externe Beratung einbeziehen.</w:t>
      </w:r>
    </w:p>
    <w:p>
      <w:pPr>
        <w:pStyle w:val="Heading3"/>
      </w:pPr>
      <w:r>
        <w:rPr>
          <w:rFonts w:ascii="Times New Roman" w:hAnsi="Times New Roman"/>
        </w:rPr>
        <w:t>C. One-in-one-out</w:t>
      </w:r>
    </w:p>
    <w:p>
      <w:pPr>
        <w:jc w:val="left"/>
      </w:pPr>
      <w:r>
        <w:t xml:space="preserve">Das Vorhaben erfüllt die One-in-one-out-Regel der Bundesregierung nicht. Den 320 Mio EUR jährlicher Belastung stehen 35 Mio EUR Entlastung (Wegfall bestimmter Postzustellungs-Pflichten) gegenüber. Der </w:t>
      </w:r>
      <w:r>
        <w:rPr>
          <w:b/>
        </w:rPr>
        <w:t>Saldo beträgt -285 Mio EUR</w:t>
      </w:r>
      <w:r>
        <w:t>.</w:t>
      </w:r>
    </w:p>
    <w:p>
      <w:pPr>
        <w:jc w:val="left"/>
      </w:pPr>
      <w:r>
        <w:t>Der NKR fordert vor Verabschiedung der Kabinettsvorlage entweder eine vollständige Kompensation im BMJ-Bereich oder eine Reduktion der Belastung.</w:t>
      </w:r>
    </w:p>
    <w:p>
      <w:pPr>
        <w:pStyle w:val="Heading3"/>
      </w:pPr>
      <w:r>
        <w:rPr>
          <w:rFonts w:ascii="Times New Roman" w:hAnsi="Times New Roman"/>
        </w:rPr>
        <w:t>D. Inhaltliche Pruefung</w:t>
      </w:r>
    </w:p>
    <w:p>
      <w:pPr>
        <w:jc w:val="left"/>
      </w:pPr>
      <w:r>
        <w:rPr>
          <w:b/>
        </w:rPr>
        <w:t>Erforderlichkeit</w:t>
      </w:r>
      <w:r>
        <w:t>: bejaht.</w:t>
      </w:r>
    </w:p>
    <w:p>
      <w:pPr>
        <w:jc w:val="left"/>
      </w:pPr>
      <w:r>
        <w:rPr>
          <w:b/>
        </w:rPr>
        <w:t>Subsidiarität</w:t>
      </w:r>
      <w:r>
        <w:t>: Freiwillige Lösungen sind nicht zielführend.</w:t>
      </w:r>
    </w:p>
    <w:p>
      <w:pPr>
        <w:jc w:val="left"/>
      </w:pPr>
      <w:r>
        <w:rPr>
          <w:b/>
        </w:rPr>
        <w:t>Verhaeltnismaessigkeit</w:t>
      </w:r>
      <w:r>
        <w:t xml:space="preserve"> (Geeignetheit, Erforderlichkeit, Angemessenheit): Geeignetheit und Erforderlichkeit bejaht. Die </w:t>
      </w:r>
      <w:r>
        <w:rPr>
          <w:b/>
        </w:rPr>
        <w:t>Angemessenheit</w:t>
      </w:r>
      <w:r>
        <w:t xml:space="preserve"> der gewählten Ausgestaltung wird hingegen vom NKR verneint, weil eine weniger belastende und gleich wirksame Alternative verfügbar ist.</w:t>
      </w:r>
    </w:p>
    <w:p>
      <w:pPr>
        <w:jc w:val="left"/>
      </w:pPr>
      <w:r>
        <w:rPr>
          <w:b/>
        </w:rPr>
        <w:t>Mittelstandsfreundlichkeit</w:t>
      </w:r>
      <w:r>
        <w:t>: nicht hinreichend berücksichtigt. Es fehlen Schwellenwerte und differenzierte Pflichten für kleine GmbHs und UGs.</w:t>
      </w:r>
    </w:p>
    <w:p>
      <w:pPr>
        <w:jc w:val="left"/>
      </w:pPr>
      <w:r>
        <w:rPr>
          <w:b/>
        </w:rPr>
        <w:t>Praktikabilität im Vollzug</w:t>
      </w:r>
      <w:r>
        <w:t>: Drei parallele Standards bei 117 dezentralen Handelsregistergerichten erzeugen einen Vollzugsaufwand, der den Justizressourcen-Bedarf vergleichbar mit den jährlichen Aufwendungen für die anwaltliche Pflichtverteidigung in Strafsachen bringen würde.</w:t>
      </w:r>
    </w:p>
    <w:p>
      <w:pPr>
        <w:jc w:val="left"/>
      </w:pPr>
      <w:r>
        <w:rPr>
          <w:b/>
        </w:rPr>
        <w:t>Digital-/OZG-Anschlussfähigkeit</w:t>
      </w:r>
      <w:r>
        <w:t>: Das Vorhaben ist mit dem Onlinezugangsgesetz und der eIDAS-Verordnung (insbesondere EUDI-Wallet ab 2026) nicht hinreichend abgestimmt.</w:t>
      </w:r>
    </w:p>
    <w:p>
      <w:pPr>
        <w:jc w:val="left"/>
      </w:pPr>
      <w:r>
        <w:rPr>
          <w:b/>
        </w:rPr>
        <w:t>EU-Konformitaet</w:t>
      </w:r>
      <w:r>
        <w:t>: Die Regelung des Inlandsvertreters für Gesellschaften aus anderen EU-Mitgliedstaaten muss hinsichtlich Vereinbarkeit mit der Niederlassungsfreiheit (Art. 49 AEUV) und der Brüssel-Ia-VO (Art. 64) überprüft werden.</w:t>
      </w:r>
    </w:p>
    <w:p>
      <w:pPr>
        <w:pStyle w:val="Heading3"/>
      </w:pPr>
      <w:r>
        <w:rPr>
          <w:rFonts w:ascii="Times New Roman" w:hAnsi="Times New Roman"/>
        </w:rPr>
        <w:t>E. Empfehlungen</w:t>
      </w:r>
    </w:p>
    <w:p>
      <w:pPr>
        <w:jc w:val="left"/>
      </w:pPr>
      <w:r>
        <w:t>Der NKR empfiehlt die Überarbeitung des Entwurfs entlang folgender Eckpunkte:</w:t>
      </w:r>
    </w:p>
    <w:p>
      <w:pPr>
        <w:pStyle w:val="ListNumber"/>
      </w:pPr>
      <w:r>
        <w:rPr>
          <w:b/>
        </w:rPr>
        <w:t>Zentrale Architektur</w:t>
      </w:r>
      <w:r>
        <w:t xml:space="preserve"> beim Bundesjustizamt als einheitliche elektronische Zustellungs-Postfach-Infrastruktur (statt dezentraler Hinterlegung bei 117 Amtsgerichten).</w:t>
      </w:r>
    </w:p>
    <w:p>
      <w:pPr>
        <w:pStyle w:val="ListNumber"/>
      </w:pPr>
      <w:r>
        <w:rPr>
          <w:b/>
        </w:rPr>
        <w:t>Ein technischer Standard</w:t>
      </w:r>
      <w:r>
        <w:t xml:space="preserve"> auf eIDAS-/EUDI-Wallet-Basis (statt drei parallele Standards).</w:t>
      </w:r>
    </w:p>
    <w:p>
      <w:pPr>
        <w:pStyle w:val="ListNumber"/>
      </w:pPr>
      <w:r>
        <w:rPr>
          <w:b/>
        </w:rPr>
        <w:t>Jährliche Bestätigung</w:t>
      </w:r>
      <w:r>
        <w:t xml:space="preserve"> der Erreichbarkeit mit der Bilanzpublikation kombiniert, automatisches Heartbeat-Verfahren ohne aktive Bestätigungspflicht.</w:t>
      </w:r>
    </w:p>
    <w:p>
      <w:pPr>
        <w:pStyle w:val="ListNumber"/>
      </w:pPr>
      <w:r>
        <w:rPr>
          <w:b/>
        </w:rPr>
        <w:t>Differenzierte Pflichten</w:t>
      </w:r>
      <w:r>
        <w:t xml:space="preserve"> für KMU; Schwellenwert für Befreiungen bei GmbH/UG mit weniger als 5 Mitarbeitern und Jahresumsatz unter 250.000 EUR.</w:t>
      </w:r>
    </w:p>
    <w:p>
      <w:pPr>
        <w:pStyle w:val="ListNumber"/>
      </w:pPr>
      <w:r>
        <w:rPr>
          <w:b/>
        </w:rPr>
        <w:t>Sanktionsregime begrenzen</w:t>
      </w:r>
      <w:r>
        <w:t xml:space="preserve"> auf Zwangsgeld bis 5.000 EUR; </w:t>
      </w:r>
      <w:r>
        <w:rPr>
          <w:b/>
        </w:rPr>
        <w:t>keine Löschung</w:t>
      </w:r>
      <w:r>
        <w:t xml:space="preserve"> aus dem Handelsregister als Sanktion.</w:t>
      </w:r>
    </w:p>
    <w:p>
      <w:pPr>
        <w:pStyle w:val="ListNumber"/>
      </w:pPr>
      <w:r>
        <w:rPr>
          <w:b/>
        </w:rPr>
        <w:t>Anbindung an OZG / OZG 2.0</w:t>
      </w:r>
      <w:r>
        <w:t xml:space="preserve"> im Gesetzestext klarstellen.</w:t>
      </w:r>
    </w:p>
    <w:p>
      <w:pPr>
        <w:pStyle w:val="ListNumber"/>
      </w:pPr>
      <w:r>
        <w:rPr>
          <w:b/>
        </w:rPr>
        <w:t>Verhältnis zu Brüssel-Ia-VO und Niederlassungsfreiheit</w:t>
      </w:r>
      <w:r>
        <w:t xml:space="preserve"> klarstellen.</w:t>
      </w:r>
    </w:p>
    <w:p>
      <w:pPr>
        <w:jc w:val="left"/>
      </w:pPr>
      <w:r>
        <w:t xml:space="preserve">Bei Umsetzung dieser Empfehlungen reduziert sich der jährliche Erfuellungsaufwand voraussichtlich auf rund </w:t>
      </w:r>
      <w:r>
        <w:rPr>
          <w:b/>
        </w:rPr>
        <w:t>80 Mio EUR für die Wirtschaft</w:t>
      </w:r>
      <w:r>
        <w:t xml:space="preserve"> und auf rund </w:t>
      </w:r>
      <w:r>
        <w:rPr>
          <w:b/>
        </w:rPr>
        <w:t>45 Mio EUR für die Verwaltung</w:t>
      </w:r>
      <w:r>
        <w:t>.</w:t>
      </w:r>
    </w:p>
    <w:p>
      <w:pPr>
        <w:pStyle w:val="Heading3"/>
      </w:pPr>
      <w:r>
        <w:rPr>
          <w:rFonts w:ascii="Times New Roman" w:hAnsi="Times New Roman"/>
        </w:rPr>
        <w:t>F. Schlussbemerkung</w:t>
      </w:r>
    </w:p>
    <w:p>
      <w:pPr>
        <w:jc w:val="left"/>
      </w:pPr>
      <w:r>
        <w:t>Der NKR ist der Auffassung, dass das Regelungsanliegen wichtig und richtig ist. Eine grundlegend überarbeitete Fassung kann nach Auffassung des NKR den Vorgaben des NKRG und der Bundesregierung zur Begrenzung des Erfuellungsaufwands und zur Mittelstandsfreundlichkeit gerecht werden. Der NKR steht dem federführenden Ressort für Folge-Gespräche zur Verfügung.</w:t>
      </w:r>
    </w:p>
    <w:p/>
    <w:p>
      <w:pPr>
        <w:jc w:val="left"/>
      </w:pPr>
      <w:r>
        <w:rPr>
          <w:b/>
        </w:rPr>
        <w:t>Berlin, den 28.05.2026</w:t>
      </w:r>
    </w:p>
    <w:p>
      <w:pPr>
        <w:jc w:val="left"/>
      </w:pPr>
      <w:r>
        <w:rPr>
          <w:b/>
        </w:rPr>
        <w:t>Nationaler Normenkontrollrat</w:t>
      </w:r>
    </w:p>
    <w:p>
      <w:pPr>
        <w:jc w:val="left"/>
      </w:pPr>
      <w:r>
        <w:rPr>
          <w:b/>
        </w:rPr>
        <w:t>Prof. Dr. Christine Mertens-Vellbruck</w:t>
      </w:r>
      <w:r>
        <w:t xml:space="preserve"> (berichterstattend)</w:t>
      </w:r>
    </w:p>
    <w:p>
      <w:pPr>
        <w:jc w:val="left"/>
      </w:pPr>
      <w:r>
        <w:rPr>
          <w:b/>
        </w:rPr>
        <w:t>Dr. Friedrich Hartmann</w:t>
      </w:r>
      <w:r>
        <w:t xml:space="preserve"> (co-berichterstattend)</w:t>
      </w:r>
    </w:p>
    <w:p>
      <w:pPr>
        <w:jc w:val="left"/>
      </w:pPr>
      <w:r>
        <w:t>(eingereicht am 28.05.2026 beim Bundesministerium der Justiz, beizufügen den Kabinettsunterlagen gemäß § 6 Abs. 4 NKRG)</w:t>
      </w:r>
    </w:p>
    <w:p/>
    <w:p>
      <w:pPr>
        <w:jc w:val="left"/>
      </w:pPr>
      <w:r>
        <w:t>Anlage A: Berechnungsschema Erfuellungsaufwand (Aktenstücke 06/07 sowie tabellen/)</w:t>
      </w:r>
    </w:p>
    <w:p>
      <w:pPr>
        <w:jc w:val="left"/>
      </w:pPr>
      <w:r>
        <w:t>Anlage B: Drei-Szenarien-Vergleich (Aktenstück 05 sowie tabellen/alternativen_szenarienbilanz.csv)</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Eingereicht beim: Bundesministerium der Justiz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Eingereicht beim: Bundesministerium der Justiz</w:t>
    </w:r>
  </w:p>
  <w:p>
    <w:pPr>
      <w:jc w:val="left"/>
      <w:pBdr>
        <w:bottom w:val="single" w:sz="6" w:space="2" w:color="3B3F45"/>
      </w:pBdr>
    </w:pPr>
    <w:r>
      <w:rPr>
        <w:rFonts w:ascii="Times New Roman" w:hAnsi="Times New Roman"/>
        <w:color w:val="6B6B66"/>
        <w:sz w:val="16"/>
      </w:rPr>
      <w:t>Referat R B 5 · Az.: NKR-RefE-2026-088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