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04 — Flächennutzungsplan Berlin 2026 — Darstellung Plangebiet und Entwicklungsgebot</w:t>
      </w:r>
    </w:p>
    <w:p>
      <w:pPr>
        <w:jc w:val="left"/>
      </w:pPr>
      <w:r>
        <w:t>Quelle: Senatsverwaltung für Stadtentwicklung, Bauen und Wohnen, FNP Berlin 2026 (in Kraft seit 01.02.2026)</w:t>
      </w:r>
    </w:p>
    <w:p/>
    <w:p>
      <w:pPr>
        <w:pStyle w:val="Heading2"/>
      </w:pPr>
      <w:r>
        <w:rPr>
          <w:rFonts w:ascii="Times New Roman" w:hAnsi="Times New Roman"/>
        </w:rPr>
        <w:t>1. Darstellung im FNP</w:t>
      </w:r>
    </w:p>
    <w:p>
      <w:pPr>
        <w:jc w:val="left"/>
      </w:pPr>
      <w:r>
        <w:t xml:space="preserve">Das Plangebiet (Spreeuferpark Friedrichshain, ca. 2,4 ha) ist im Flächennutzungsplan Berlin 2026 als </w:t>
      </w:r>
      <w:r>
        <w:rPr>
          <w:b/>
        </w:rPr>
        <w:t>Grünfläche mit der Zweckbestimmung „Park"</w:t>
      </w:r>
      <w:r>
        <w:t xml:space="preserve"> dargestellt (§ 5 Abs. 2 Nr. 5 BauGB). Die Darstellung geht auf den FNP 1994 (Beschluss Senat Berlin 20.12.1994) zurück und wurde in den Fortschreibungen 2009 und 2020 beibehalten.</w:t>
      </w:r>
    </w:p>
    <w:p>
      <w:pPr>
        <w:jc w:val="left"/>
      </w:pPr>
      <w:r>
        <w:t>Im Entwurf zur Fortschreibung FNP 2026 (Beratung Abgeordnetenhaus November 2025) wurde das Plangebiet auf Antrag des Bezirks Friedrichshain-Kreuzberg von „Grünfläche Park" auf „Wohnbaufläche W2" umgewertet. Diese Änderung trat mit dem FNP 2026 in Kraft.</w:t>
      </w:r>
    </w:p>
    <w:p/>
    <w:p>
      <w:pPr>
        <w:pStyle w:val="Heading2"/>
      </w:pPr>
      <w:r>
        <w:rPr>
          <w:rFonts w:ascii="Times New Roman" w:hAnsi="Times New Roman"/>
        </w:rPr>
        <w:t>2. Entwicklungsgebot (§ 8 Abs. 2 BauGB)</w:t>
      </w:r>
    </w:p>
    <w:p>
      <w:pPr>
        <w:jc w:val="left"/>
      </w:pPr>
      <w:r>
        <w:t>Nach § 8 Abs. 2 Satz 1 BauGB hat der Bebauungsplan aus dem Flächennutzungsplan entwickelt zu werden. Aufgrund der gleichzeitigen Änderung des FNP (parallel zur B-Plan-Aufstellung) und des Satzungsbeschlusses B-Plan stellt sich die Frage, ob das Entwicklungsgebot gewahrt ist.</w:t>
      </w:r>
    </w:p>
    <w:p>
      <w:pPr>
        <w:pStyle w:val="Heading3"/>
      </w:pPr>
      <w:r>
        <w:rPr>
          <w:rFonts w:ascii="Times New Roman" w:hAnsi="Times New Roman"/>
        </w:rPr>
        <w:t>Zeitliche Abfolge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Schritt</w:t>
            </w:r>
          </w:p>
        </w:tc>
        <w:tc>
          <w:tcPr>
            <w:tcW w:type="dxa" w:w="4536"/>
          </w:tcPr>
          <w:p>
            <w:r>
              <w:rPr>
                <w:rFonts w:ascii="Times New Roman" w:hAnsi="Times New Roman"/>
                <w:b/>
                <w:sz w:val="20"/>
              </w:rPr>
              <w:t>Datum</w:t>
            </w:r>
          </w:p>
        </w:tc>
      </w:tr>
      <w:tr>
        <w:tc>
          <w:tcPr>
            <w:tcW w:type="dxa" w:w="4536"/>
          </w:tcPr>
          <w:p>
            <w:r>
              <w:rPr>
                <w:rFonts w:ascii="Times New Roman" w:hAnsi="Times New Roman"/>
                <w:sz w:val="20"/>
              </w:rPr>
              <w:t>Aufstellungsbeschluss B-Plan XV-43d</w:t>
            </w:r>
          </w:p>
        </w:tc>
        <w:tc>
          <w:tcPr>
            <w:tcW w:type="dxa" w:w="4536"/>
          </w:tcPr>
          <w:p>
            <w:r>
              <w:rPr>
                <w:rFonts w:ascii="Times New Roman" w:hAnsi="Times New Roman"/>
                <w:sz w:val="20"/>
              </w:rPr>
              <w:t>14.06.2022</w:t>
            </w:r>
          </w:p>
        </w:tc>
      </w:tr>
      <w:tr>
        <w:tc>
          <w:tcPr>
            <w:tcW w:type="dxa" w:w="4536"/>
          </w:tcPr>
          <w:p>
            <w:r>
              <w:rPr>
                <w:rFonts w:ascii="Times New Roman" w:hAnsi="Times New Roman"/>
                <w:sz w:val="20"/>
              </w:rPr>
              <w:t>Einleitung FNP-Änderungsverfahren</w:t>
            </w:r>
          </w:p>
        </w:tc>
        <w:tc>
          <w:tcPr>
            <w:tcW w:type="dxa" w:w="4536"/>
          </w:tcPr>
          <w:p>
            <w:r>
              <w:rPr>
                <w:rFonts w:ascii="Times New Roman" w:hAnsi="Times New Roman"/>
                <w:sz w:val="20"/>
              </w:rPr>
              <w:t>21.09.2022</w:t>
            </w:r>
          </w:p>
        </w:tc>
      </w:tr>
      <w:tr>
        <w:tc>
          <w:tcPr>
            <w:tcW w:type="dxa" w:w="4536"/>
          </w:tcPr>
          <w:p>
            <w:r>
              <w:rPr>
                <w:rFonts w:ascii="Times New Roman" w:hAnsi="Times New Roman"/>
                <w:sz w:val="20"/>
              </w:rPr>
              <w:t>Öffentliche Auslegung FNP-Änderung</w:t>
            </w:r>
          </w:p>
        </w:tc>
        <w:tc>
          <w:tcPr>
            <w:tcW w:type="dxa" w:w="4536"/>
          </w:tcPr>
          <w:p>
            <w:r>
              <w:rPr>
                <w:rFonts w:ascii="Times New Roman" w:hAnsi="Times New Roman"/>
                <w:sz w:val="20"/>
              </w:rPr>
              <w:t>15.03.2023 — 17.04.2023</w:t>
            </w:r>
          </w:p>
        </w:tc>
      </w:tr>
      <w:tr>
        <w:tc>
          <w:tcPr>
            <w:tcW w:type="dxa" w:w="4536"/>
          </w:tcPr>
          <w:p>
            <w:r>
              <w:rPr>
                <w:rFonts w:ascii="Times New Roman" w:hAnsi="Times New Roman"/>
                <w:sz w:val="20"/>
              </w:rPr>
              <w:t>Beschluss Abgeordnetenhaus FNP 2026</w:t>
            </w:r>
          </w:p>
        </w:tc>
        <w:tc>
          <w:tcPr>
            <w:tcW w:type="dxa" w:w="4536"/>
          </w:tcPr>
          <w:p>
            <w:r>
              <w:rPr>
                <w:rFonts w:ascii="Times New Roman" w:hAnsi="Times New Roman"/>
                <w:sz w:val="20"/>
              </w:rPr>
              <w:t>18.11.2025</w:t>
            </w:r>
          </w:p>
        </w:tc>
      </w:tr>
      <w:tr>
        <w:tc>
          <w:tcPr>
            <w:tcW w:type="dxa" w:w="4536"/>
          </w:tcPr>
          <w:p>
            <w:r>
              <w:rPr>
                <w:rFonts w:ascii="Times New Roman" w:hAnsi="Times New Roman"/>
                <w:sz w:val="20"/>
              </w:rPr>
              <w:t>Inkrafttreten FNP 2026</w:t>
            </w:r>
          </w:p>
        </w:tc>
        <w:tc>
          <w:tcPr>
            <w:tcW w:type="dxa" w:w="4536"/>
          </w:tcPr>
          <w:p>
            <w:r>
              <w:rPr>
                <w:rFonts w:ascii="Times New Roman" w:hAnsi="Times New Roman"/>
                <w:sz w:val="20"/>
              </w:rPr>
              <w:t>01.02.2026</w:t>
            </w:r>
          </w:p>
        </w:tc>
      </w:tr>
      <w:tr>
        <w:tc>
          <w:tcPr>
            <w:tcW w:type="dxa" w:w="4536"/>
          </w:tcPr>
          <w:p>
            <w:r>
              <w:rPr>
                <w:rFonts w:ascii="Times New Roman" w:hAnsi="Times New Roman"/>
                <w:sz w:val="20"/>
              </w:rPr>
              <w:t>Satzungsbeschluss B-Plan XV-43d</w:t>
            </w:r>
          </w:p>
        </w:tc>
        <w:tc>
          <w:tcPr>
            <w:tcW w:type="dxa" w:w="4536"/>
          </w:tcPr>
          <w:p>
            <w:r>
              <w:rPr>
                <w:rFonts w:ascii="Times New Roman" w:hAnsi="Times New Roman"/>
                <w:sz w:val="20"/>
              </w:rPr>
              <w:t>12.03.2026</w:t>
            </w:r>
          </w:p>
        </w:tc>
      </w:tr>
    </w:tbl>
    <w:p>
      <w:pPr>
        <w:jc w:val="left"/>
      </w:pPr>
      <w:r>
        <w:t>Die formale Konformität zwischen FNP 2026 und B-Plan XV-43d ist nach dieser Abfolge gegeben, da zum Zeitpunkt des Satzungsbeschlusses der geänderte FNP bereits in Kraft war.</w:t>
      </w:r>
    </w:p>
    <w:p>
      <w:pPr>
        <w:pStyle w:val="Heading3"/>
      </w:pPr>
      <w:r>
        <w:rPr>
          <w:rFonts w:ascii="Times New Roman" w:hAnsi="Times New Roman"/>
        </w:rPr>
        <w:t>Kritik der BI</w:t>
      </w:r>
    </w:p>
    <w:p>
      <w:pPr>
        <w:jc w:val="left"/>
      </w:pPr>
      <w:r>
        <w:t>Die BI rügt, dass die FNP-Änderung und das B-Plan-Verfahren faktisch parallel betrieben wurden und die FNP-Änderung lediglich als nachträgliche Legitimation für eine bereits feststehende Planungsentscheidung diente. Dies verstößt nach Auffassung der BI gegen das dem Entwicklungsgebot zugrundeliegende Prinzip, wonach der FNP als übergeordnete Stufe vor dem B-Plan stehen muss und nicht nachgezogen werden darf (BVerwG, Urt. v. 28.01.1999 — 4 CN 5.98, BVerwGE 108, 248).</w:t>
      </w:r>
    </w:p>
    <w:p>
      <w:pPr>
        <w:jc w:val="left"/>
      </w:pPr>
      <w:r>
        <w:t>Das BVerwG hat betont, dass eine „Parallelplanung" FNP/B-Plan grundsätzlich zulässig ist, solange der FNP vor dem Satzungsbeschluss in Kraft tritt (BVerwG, Beschl. v. 22.03.1999 — 4 BN 13.99). Formell ist dieser Maßstab hier gewahrt (Inkrafttreten FNP 01.02.2026 vor Satzungsbeschluss 12.03.2026). Materiell bleibt aber zu prüfen, ob die FNP-Änderung ihrerseits ordnungsgemäß abgewogen und mit dem Stadtentwicklungsplan Wohnen koordiniert wurde.</w:t>
      </w:r>
    </w:p>
    <w:p/>
    <w:p>
      <w:pPr>
        <w:pStyle w:val="Heading2"/>
      </w:pPr>
      <w:r>
        <w:rPr>
          <w:rFonts w:ascii="Times New Roman" w:hAnsi="Times New Roman"/>
        </w:rPr>
        <w:t>3. Auswirkungen auf den Normenkontrollantrag</w:t>
      </w:r>
    </w:p>
    <w:p>
      <w:pPr>
        <w:jc w:val="left"/>
      </w:pPr>
      <w:r>
        <w:t>Das Entwicklungsgebot ist als solches kein zentraler Angriffspunkt (formaler Verstoß scheidet aus), bietet aber Anknüpfung für das Argument, dass der B-Plan eine rechtswidrige „Gefälligkeitsplanung" zugunsten des Investors darstellt (unzulässige Koppelung an den städtebaulichen Vertrag, § 11 BauGB). Der städtebauliche Vertrag mit Bauland Spreepark GmbH darf die Bauleitplanung nicht inhaltlich determinieren (BVerwG, Urt. v. 06.07.1984 — 4 C 22.80, BVerwGE 69, 344).</w:t>
      </w:r>
    </w:p>
    <w:p/>
    <w:p>
      <w:pPr>
        <w:pStyle w:val="Heading2"/>
      </w:pPr>
      <w:r>
        <w:rPr>
          <w:rFonts w:ascii="Times New Roman" w:hAnsi="Times New Roman"/>
        </w:rPr>
        <w:t>4. FNP-Kategorie „Wohnbaufläche W2" — Bedeutung</w:t>
      </w:r>
    </w:p>
    <w:p>
      <w:pPr>
        <w:jc w:val="left"/>
      </w:pPr>
      <w:r>
        <w:t>W2 im Berliner FNP entspricht einer mittleren Wohndichte (GFZ 0,8–1,5). Der B-Plan XV-43d setzt eine GFZ von 2,4 fest, was über der W2-Kategorie liegt und eher W3 (GFZ 1,5–2,5) entspricht. Diese Überdichtung ist in der Begründung nicht explizit gerechtfertigt.</w:t>
      </w:r>
    </w:p>
    <w:p>
      <w:pPr>
        <w:jc w:val="left"/>
      </w:pPr>
      <w:r>
        <w:t>Quelle: dejure.org (§ 8 BauGB); BVerwG, Urt. v. 28.01.1999 — 4 CN 5.98 (abrufbar unter bundesverwaltungsgericht.de).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Quelle: Senatsverwaltung für Stadtentwicklung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Quelle: Senatsverwaltung für Stadtentwicklung</w:t>
    </w:r>
  </w:p>
  <w:p>
    <w:pPr>
      <w:jc w:val="left"/>
      <w:pBdr>
        <w:bottom w:val="single" w:sz="6" w:space="2" w:color="3B3F45"/>
      </w:pBdr>
    </w:pPr>
    <w:r>
      <w:rPr>
        <w:rFonts w:ascii="Times New Roman" w:hAnsi="Times New Roman"/>
        <w:color w:val="6B6B66"/>
        <w:sz w:val="16"/>
      </w:rPr>
      <w:t>Bauen und Wohnen, FNP Berlin 2026 (in Kraft seit 01.02.2026)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