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 Umweltbericht Spreeuferpark — Analyse und Defizite</w:t>
      </w:r>
    </w:p>
    <w:p>
      <w:pPr>
        <w:jc w:val="left"/>
      </w:pPr>
      <w:r>
        <w:t>Grundlage: Umweltbericht zum B-Plan XV-43d „Spreepark Friedrichshain"</w:t>
      </w:r>
    </w:p>
    <w:p>
      <w:pPr>
        <w:jc w:val="left"/>
      </w:pPr>
      <w:r>
        <w:t>Ersteller: Grünplan GmbH Berlin, Auftraggeber: Bezirksamt Friedrichshain-Kreuzberg</w:t>
      </w:r>
    </w:p>
    <w:p>
      <w:pPr>
        <w:jc w:val="left"/>
      </w:pPr>
      <w:r>
        <w:t>Datum: November 2024 · Umfang: 68 Seiten + Anlagen</w:t>
      </w:r>
    </w:p>
    <w:p/>
    <w:p>
      <w:pPr>
        <w:pStyle w:val="Heading2"/>
      </w:pPr>
      <w:r>
        <w:rPr>
          <w:rFonts w:ascii="Times New Roman" w:hAnsi="Times New Roman"/>
        </w:rPr>
        <w:t>1. Rechtliche Anforderungen (§ 2 Abs. 4 BauGB, Anlage 1 BauGB)</w:t>
      </w:r>
    </w:p>
    <w:p>
      <w:pPr>
        <w:jc w:val="left"/>
      </w:pPr>
      <w:r>
        <w:t>Für Bauleitplanverfahren, die voraussichtlich erhebliche Umweltauswirkungen haben, ist eine Umweltprüfung durchzuführen und ein Umweltbericht zu erstellen. Der Umweltbericht muss gemäß Anlage 1 zum BauGB mindestens enthalten:</w:t>
      </w:r>
    </w:p>
    <w:p>
      <w:pPr>
        <w:pStyle w:val="ListNumber"/>
      </w:pPr>
      <w:r>
        <w:t>Ziele des Umweltschutzes sowie Kurzdarstellung des Plans.</w:t>
      </w:r>
    </w:p>
    <w:p>
      <w:pPr>
        <w:pStyle w:val="ListNumber"/>
      </w:pPr>
      <w:r>
        <w:t>Bestandsaufnahme und Beschreibung der Umwelt (Schutzgüter: Mensch, Pflanzen/Tiere, Boden, Wasser, Luft/Klima, Landschaftsbild, Kulturgüter).</w:t>
      </w:r>
    </w:p>
    <w:p>
      <w:pPr>
        <w:pStyle w:val="ListNumber"/>
      </w:pPr>
      <w:r>
        <w:t>Beschreibung der Umweltauswirkungen, einschließlich Wechselwirkungen.</w:t>
      </w:r>
    </w:p>
    <w:p>
      <w:pPr>
        <w:pStyle w:val="ListNumber"/>
      </w:pPr>
      <w:r>
        <w:t>Prüfung von Alternativen.</w:t>
      </w:r>
    </w:p>
    <w:p>
      <w:pPr>
        <w:pStyle w:val="ListNumber"/>
      </w:pPr>
      <w:r>
        <w:t>Beschreibung von Schutz- und Ausgleichsmaßnahmen.</w:t>
      </w:r>
    </w:p>
    <w:p>
      <w:pPr>
        <w:pStyle w:val="ListNumber"/>
      </w:pPr>
      <w:r>
        <w:t>Monitoring-Konzept.</w:t>
      </w:r>
    </w:p>
    <w:p/>
    <w:p>
      <w:pPr>
        <w:pStyle w:val="Heading2"/>
      </w:pPr>
      <w:r>
        <w:rPr>
          <w:rFonts w:ascii="Times New Roman" w:hAnsi="Times New Roman"/>
        </w:rPr>
        <w:t>2. Schutzgutanalyse — Ergebnis des Umweltberichts</w:t>
      </w:r>
    </w:p>
    <w:p>
      <w:pPr>
        <w:pStyle w:val="Heading3"/>
      </w:pPr>
      <w:r>
        <w:rPr>
          <w:rFonts w:ascii="Times New Roman" w:hAnsi="Times New Roman"/>
        </w:rPr>
        <w:t>Schutzgut Boden</w:t>
      </w:r>
    </w:p>
    <w:p>
      <w:pPr>
        <w:jc w:val="left"/>
      </w:pPr>
      <w:r>
        <w:t>Der Umweltbericht stellt eine vorhandene Bodenbelastung (Altlastenverdachtsfläche aus der DDR-Zeit, Spreepark-Vergnügungspark 1969–2001) im nordöstlichen Teilbereich fest. Sanierungsklausel im städtebaulichen Vertrag. Einstufung: „mittlere Eingriffsschwere".</w:t>
      </w:r>
    </w:p>
    <w:p>
      <w:pPr>
        <w:pStyle w:val="Heading3"/>
      </w:pPr>
      <w:r>
        <w:rPr>
          <w:rFonts w:ascii="Times New Roman" w:hAnsi="Times New Roman"/>
        </w:rPr>
        <w:t>Schutzgut Wasser</w:t>
      </w:r>
    </w:p>
    <w:p>
      <w:pPr>
        <w:jc w:val="left"/>
      </w:pPr>
      <w:r>
        <w:t>Grundwasserstand: 1,2–1,8 m unter Gelände; Risiko der Kellergeschoss-Überflutung bei Extremregen (Berechnungsgrundlage: 100-jähriges Ereignis nach DVWK 151) vorhanden, aber laut Bericht durch gedrosselte Einleitung beherrschbar. Unbeachtet geblieben ist das 2024 vom PIK Potsdam veröffentlichte Szenario für eine höhere Spitzenabfluss-Frequenz infolge des Klimawandels.</w:t>
      </w:r>
    </w:p>
    <w:p>
      <w:pPr>
        <w:pStyle w:val="Heading3"/>
      </w:pPr>
      <w:r>
        <w:rPr>
          <w:rFonts w:ascii="Times New Roman" w:hAnsi="Times New Roman"/>
        </w:rPr>
        <w:t>Schutzgut Klima / Luft</w:t>
      </w:r>
    </w:p>
    <w:p>
      <w:pPr>
        <w:jc w:val="left"/>
      </w:pPr>
      <w:r>
        <w:rPr>
          <w:b/>
        </w:rPr>
        <w:t>Zentrales Defizit</w:t>
      </w:r>
      <w:r>
        <w:t>: Der Umweltbericht enthält keine Untersuchung der Kaltluftschneise Spree. Der Klimaatlas Berlin (Senatsverwaltung für Stadtentwicklung, 2023) weist das Plangebiet als „klimatisch bedeutsame Freifläche mit Kaltluftproduktionsfunktion" aus. Die Bebauung wird diese Funktion vollständig unterbrechen.</w:t>
      </w:r>
    </w:p>
    <w:p>
      <w:pPr>
        <w:jc w:val="left"/>
      </w:pPr>
      <w:r>
        <w:t>Die Begründung des B-Plans verweist (S. 52) auf die Dachbegrünung als Klimaanpassungsmaßnahme. Eine Dachbegrünung ersetzt jedoch keine Kaltluftproduktionsfläche und mindert die Hitzeinselfunktion auf dem Dach selbst, ohne Einfluss auf die bodennahen Kaltluftströmungen zu haben.</w:t>
      </w:r>
    </w:p>
    <w:p>
      <w:pPr>
        <w:jc w:val="left"/>
      </w:pPr>
      <w:r>
        <w:t xml:space="preserve">Einstufung durch Kanzlei: </w:t>
      </w:r>
      <w:r>
        <w:rPr>
          <w:b/>
        </w:rPr>
        <w:t>Erheblicher Abwägungsfehler</w:t>
      </w:r>
      <w:r>
        <w:t xml:space="preserve"> (§ 1 Abs. 6 Nr. 7h BauGB nicht hinreichend berücksichtigt; § 2 Abs. 3 BauGB — Ermittlungsdefizit).</w:t>
      </w:r>
    </w:p>
    <w:p>
      <w:pPr>
        <w:pStyle w:val="Heading3"/>
      </w:pPr>
      <w:r>
        <w:rPr>
          <w:rFonts w:ascii="Times New Roman" w:hAnsi="Times New Roman"/>
        </w:rPr>
        <w:t>Schutzgut Tiere und Pflanzen</w:t>
      </w:r>
    </w:p>
    <w:p>
      <w:pPr>
        <w:jc w:val="left"/>
      </w:pPr>
      <w:r>
        <w:t>Zauneidechse (Lacerta agilis): Gutachten auf Basis einer Bestandserfassung aus August 2024 (Grünplan GmbH). Festgestellt: 28 Individuen auf ca. 0,6 ha. CEF-Maßnahme: Verlagerung auf Ersatzhabitat Rummelsburger Heide (800 m²) mit Gesteinshaufen und Sandmagerrasen.</w:t>
      </w:r>
    </w:p>
    <w:p>
      <w:pPr>
        <w:jc w:val="left"/>
      </w:pPr>
      <w:r>
        <w:t>Kritik BUND und Kanzlei:</w:t>
      </w:r>
    </w:p>
    <w:p>
      <w:pPr>
        <w:pStyle w:val="ListBullet"/>
      </w:pPr>
      <w:r>
        <w:t>28 Individuen sind eine Unterschätzung für das Gebiet; Methodenpapier Zauneidechse (BfN-Skript 329) verlangt mindestens 3 Begehungen, davon eine im Frühjahr und eine im Spätsommer — beide fehlen.</w:t>
      </w:r>
    </w:p>
    <w:p>
      <w:pPr>
        <w:pStyle w:val="ListBullet"/>
      </w:pPr>
      <w:r>
        <w:t>Rummelsburger Heide bereits mit bestehenden Zauneidechsenpopulationen besiedelt; Aufnahmekapazität für weitere Individuen nicht geprüft.</w:t>
      </w:r>
    </w:p>
    <w:p>
      <w:pPr>
        <w:pStyle w:val="Heading3"/>
      </w:pPr>
      <w:r>
        <w:rPr>
          <w:rFonts w:ascii="Times New Roman" w:hAnsi="Times New Roman"/>
        </w:rPr>
        <w:t>Schutzgut Mensch / Erholung</w:t>
      </w:r>
    </w:p>
    <w:p>
      <w:pPr>
        <w:jc w:val="left"/>
      </w:pPr>
      <w:r>
        <w:t>Verlust der öffentlichen Grünfläche betrifft Naherholungsbelange von rd. 18.500 Einwohnerinnen und Einwohnern im Einzugsgebiet. Umweltbericht bewertet dies als „mittlere Betroffenheit", ohne Versorgungsanalyse anhand der Berliner Freiflächenrichtwerte.</w:t>
      </w:r>
    </w:p>
    <w:p/>
    <w:p>
      <w:pPr>
        <w:pStyle w:val="Heading2"/>
      </w:pPr>
      <w:r>
        <w:rPr>
          <w:rFonts w:ascii="Times New Roman" w:hAnsi="Times New Roman"/>
        </w:rPr>
        <w:t>3. Alternativenprüfung</w:t>
      </w:r>
    </w:p>
    <w:p>
      <w:pPr>
        <w:jc w:val="left"/>
      </w:pPr>
      <w:r>
        <w:t>Der Umweltbericht prüft auf 3 Seiten (S. 61–63) zwei Alternativen: Nullvariante (kein B-Plan) und eine reduzierte Bebauung (5 Geschosse, 240 WE). Die reduzierte Variante wird ohne quantitativen Vergleich der Umweltauswirkungen abgelehnt, weil sie den Wohnungsbedarfszielen nicht entspreche. Das BVerwG verlangt jedoch eine Alternativenprüfung, die die Umweltauswirkungen der verschiedenen Varianten tatsächlich vergleichend gegenüberstellt (BVerwG, Urt. v. 25.01.2012 — 9 A 6.10, BVerwGE 141, 282).</w:t>
      </w:r>
    </w:p>
    <w:p/>
    <w:p>
      <w:pPr>
        <w:pStyle w:val="Heading2"/>
      </w:pPr>
      <w:r>
        <w:rPr>
          <w:rFonts w:ascii="Times New Roman" w:hAnsi="Times New Roman"/>
        </w:rPr>
        <w:t>4. Monitoring-Konzept</w:t>
      </w:r>
    </w:p>
    <w:p>
      <w:pPr>
        <w:jc w:val="left"/>
      </w:pPr>
      <w:r>
        <w:t>Das Monitoring-Konzept (S. 67–68) beschränkt sich auf eine pauschale Aussage, dass das Bezirksamt die Umsetzung der CEF-Maßnahmen „begleiten" werde. Konkrete Kontrollzeitpunkte, Verantwortlichkeiten und Erfolgskriterien fehlen, was den Anforderungen der Anlage 1 Nr. 3b zum BauGB nicht genügt.</w:t>
      </w:r>
    </w:p>
    <w:p/>
    <w:p>
      <w:pPr>
        <w:pStyle w:val="Heading2"/>
      </w:pPr>
      <w:r>
        <w:rPr>
          <w:rFonts w:ascii="Times New Roman" w:hAnsi="Times New Roman"/>
        </w:rPr>
        <w:t>5. Fazit für das Normenkontrollverfahren</w:t>
      </w:r>
    </w:p>
    <w:p>
      <w:pPr>
        <w:jc w:val="left"/>
      </w:pPr>
      <w:r>
        <w:t>Der Umweltbericht ist in drei Punkten erheblich defizitär:</w:t>
      </w:r>
    </w:p>
    <w:p>
      <w:pPr>
        <w:pStyle w:val="ListNumber"/>
      </w:pPr>
      <w:r>
        <w:t>Fehlende Kaltluftschneisen-Analyse (§ 1 Abs. 6 Nr. 7h, § 2 Abs. 3 BauGB).</w:t>
      </w:r>
    </w:p>
    <w:p>
      <w:pPr>
        <w:pStyle w:val="ListNumber"/>
      </w:pPr>
      <w:r>
        <w:t>Mangelhafte Artenschutzprognose (Zauneidechse, unvollständige Methodik).</w:t>
      </w:r>
    </w:p>
    <w:p>
      <w:pPr>
        <w:pStyle w:val="ListNumber"/>
      </w:pPr>
      <w:r>
        <w:t>Unzureichende Alternativenprüfung (keine quantitativen Umweltvergleiche).</w:t>
      </w:r>
    </w:p>
    <w:p>
      <w:pPr>
        <w:jc w:val="left"/>
      </w:pPr>
      <w:r>
        <w:t>Quellen: dejure.org (§ 2 BauGB, Anlage 1 BauGB, § 44 BNatSchG); BVerwG, Urt. v. 25.01.2012 — 9 A 6.10 (bundesverwaltungsgericht.de); BfN-Skript 329 (Methodik Zauneidechse).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Grünplan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Grünplan GmbH</w:t>
    </w:r>
  </w:p>
  <w:p>
    <w:pPr>
      <w:jc w:val="left"/>
      <w:pBdr>
        <w:bottom w:val="single" w:sz="6" w:space="2" w:color="2C5230"/>
      </w:pBdr>
    </w:pPr>
    <w:r>
      <w:rPr>
        <w:rFonts w:ascii="Times New Roman" w:hAnsi="Times New Roman"/>
        <w:color w:val="6B6B66"/>
        <w:sz w:val="16"/>
      </w:rPr>
      <w:t>Auftraggeber: Bezirksamt Friedrichshain-Kreuzberg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