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09 — Artenschutzkomplex Zauneidechse — Gutachten und Kritik</w:t>
      </w:r>
    </w:p>
    <w:p>
      <w:pPr>
        <w:jc w:val="left"/>
      </w:pPr>
      <w:r>
        <w:t>Gutachten: Artenschutzbeitrag (ASB) zum B-Plan XV-43d „Spreepark Friedrichshain"</w:t>
      </w:r>
    </w:p>
    <w:p>
      <w:pPr>
        <w:jc w:val="left"/>
      </w:pPr>
      <w:r>
        <w:t>Ersteller: Grünplan GmbH Berlin (Dipl.-Biol. Miriam Koschel-Bergmann)</w:t>
      </w:r>
    </w:p>
    <w:p>
      <w:pPr>
        <w:jc w:val="left"/>
      </w:pPr>
      <w:r>
        <w:t>Datum: August 2024 · Auftraggeber: Bezirksamt Friedrichshain-Kreuzberg</w:t>
      </w:r>
    </w:p>
    <w:p>
      <w:pPr>
        <w:jc w:val="left"/>
      </w:pPr>
      <w:r>
        <w:t>Gegengutachten: BUND Berlin e.V. (Dr. phil. nat. Andreas Wendler-Faber)</w:t>
      </w:r>
    </w:p>
    <w:p>
      <w:pPr>
        <w:jc w:val="left"/>
      </w:pPr>
      <w:r>
        <w:t>Datum: Januar 2026 · Im Auftrag der Bürgerinitiative</w:t>
      </w:r>
    </w:p>
    <w:p/>
    <w:p>
      <w:pPr>
        <w:pStyle w:val="Heading2"/>
      </w:pPr>
      <w:r>
        <w:rPr>
          <w:rFonts w:ascii="Times New Roman" w:hAnsi="Times New Roman"/>
        </w:rPr>
        <w:t>1. Artenschutzrechtlicher Rahmen</w:t>
      </w:r>
    </w:p>
    <w:p>
      <w:pPr>
        <w:jc w:val="left"/>
      </w:pPr>
      <w:r>
        <w:t>Die Zauneidechse (Lacerta agilis) ist als Art des Anhangs IV der FFH-Richtlinie (92/43/EWG) nach § 44 Abs. 1 BNatSchG besonders geschützt. Verboten sind:</w:t>
      </w:r>
    </w:p>
    <w:p>
      <w:pPr>
        <w:pStyle w:val="ListBullet"/>
      </w:pPr>
      <w:r>
        <w:t>Fang, Verletzung und Tötung (§ 44 Abs. 1 Nr. 1 BNatSchG).</w:t>
      </w:r>
    </w:p>
    <w:p>
      <w:pPr>
        <w:pStyle w:val="ListBullet"/>
      </w:pPr>
      <w:r>
        <w:t>Erhebliche Störung während Fortpflanzungs-, Aufzucht-, Überwinterungszeiten (§ 44 Abs. 1 Nr. 2 BNatSchG).</w:t>
      </w:r>
    </w:p>
    <w:p>
      <w:pPr>
        <w:pStyle w:val="ListBullet"/>
      </w:pPr>
      <w:r>
        <w:t>Beschädigung/Zerstörung von Fortpflanzungs- und Ruhestätten (§ 44 Abs. 1 Nr. 3 BNatSchG).</w:t>
      </w:r>
    </w:p>
    <w:p>
      <w:pPr>
        <w:jc w:val="left"/>
      </w:pPr>
      <w:r>
        <w:t>Eine Ausnahme nach § 45 BNatSchG kommt nur unter strengen Voraussetzungen in Betracht; eine Befreiung nach § 67 BNatSchG setzt besondere Umstände voraus, die hier nicht geltend gemacht wurden. Maßgebend ist der Vermeidungsgrundsatz; CEF-Maßnahmen (Continuous Ecological Functionality) müssen vor dem Eingriff wirksam sein (BVerwG, Urt. v. 14.07.2011 — 9 A 12.10, BVerwGE 140, 149).</w:t>
      </w:r>
    </w:p>
    <w:p/>
    <w:p>
      <w:pPr>
        <w:pStyle w:val="Heading2"/>
      </w:pPr>
      <w:r>
        <w:rPr>
          <w:rFonts w:ascii="Times New Roman" w:hAnsi="Times New Roman"/>
        </w:rPr>
        <w:t>2. Ergebnisse des Behördengutachtens (Grünplan GmbH, August 2024)</w:t>
      </w:r>
    </w:p>
    <w:p>
      <w:pPr>
        <w:pStyle w:val="Heading3"/>
      </w:pPr>
      <w:r>
        <w:rPr>
          <w:rFonts w:ascii="Times New Roman" w:hAnsi="Times New Roman"/>
        </w:rPr>
        <w:t>Bestandserfassung</w:t>
      </w:r>
    </w:p>
    <w:p>
      <w:pPr>
        <w:jc w:val="left"/>
      </w:pPr>
      <w:r>
        <w:t>Begehungen: 2 Begehungen (15.06.2024 und 23.08.2024); Methode: Verhüllungssuche mit Blechplatten (20 Platten, je 0,5 m²), Sichtbeobachtung.</w:t>
      </w:r>
    </w:p>
    <w:p>
      <w:pPr>
        <w:jc w:val="left"/>
      </w:pPr>
      <w:r>
        <w:t>Ergebnis: 28 Individuen auf 0,62 ha sonnexponierten Flächen (Bahndammböschung, Schotterflächen).</w:t>
      </w:r>
    </w:p>
    <w:p>
      <w:pPr>
        <w:pStyle w:val="Heading3"/>
      </w:pPr>
      <w:r>
        <w:rPr>
          <w:rFonts w:ascii="Times New Roman" w:hAnsi="Times New Roman"/>
        </w:rPr>
        <w:t>CEF-Maßnahme</w:t>
      </w:r>
    </w:p>
    <w:p>
      <w:pPr>
        <w:jc w:val="left"/>
      </w:pPr>
      <w:r>
        <w:t>Verlagerung der Population auf ein 800 m² großes Ersatzhabitat auf der Rummelsburger Heide (ca. 1,2 km entfernt). Maßnahmen: Anlage von Sandmagerrasen (10 cm Sandboden), Gesteinshaufen (3 × Haufwerk je 2 m³), Reptilienzaun zur Eingrenzung während Bauphase.</w:t>
      </w:r>
    </w:p>
    <w:p/>
    <w:p>
      <w:pPr>
        <w:pStyle w:val="Heading2"/>
      </w:pPr>
      <w:r>
        <w:rPr>
          <w:rFonts w:ascii="Times New Roman" w:hAnsi="Times New Roman"/>
        </w:rPr>
        <w:t>3. Gegengutachten BUND Berlin (Dr. Wendler-Faber, Januar 2026)</w:t>
      </w:r>
    </w:p>
    <w:p>
      <w:pPr>
        <w:pStyle w:val="Heading3"/>
      </w:pPr>
      <w:r>
        <w:rPr>
          <w:rFonts w:ascii="Times New Roman" w:hAnsi="Times New Roman"/>
        </w:rPr>
        <w:t>Methodische Kritik</w:t>
      </w:r>
    </w:p>
    <w:p>
      <w:pPr>
        <w:jc w:val="left"/>
      </w:pPr>
      <w:r>
        <w:rPr>
          <w:b/>
        </w:rPr>
        <w:t>Mangel 1 — Unzureichende Begehungszahl</w:t>
      </w:r>
      <w:r>
        <w:t>: Das BfN-Skript 329 („Bewertung des Erhaltungszustands der Zauneidechse", 2018) und das Methodenpapier der Länderarbeitsgemeinschaft Naturschutz (LANA) empfehlen mindestens 4–5 Begehungen, darunter eine im April/Mai (Frühjahrsaktivität) und eine im September (Spätsommeraktivität). Das Grünplan-Gutachten basiert auf lediglich 2 Begehungen im Hochsommer.</w:t>
      </w:r>
    </w:p>
    <w:p>
      <w:pPr>
        <w:jc w:val="left"/>
      </w:pPr>
      <w:r>
        <w:rPr>
          <w:b/>
        </w:rPr>
        <w:t>Mangel 2 — Unterschätzung der Populationsgröße</w:t>
      </w:r>
      <w:r>
        <w:t>: Auf vergleichbaren Bahndammstandorten in Berlin wurden Populationsdichten von 40–120 Individuen/ha festgestellt (Quellen: Zitzmann et al. 2017, Naturschutz und Landschaftsplanung). Bei 0,62 ha wäre eine Schätzung von 48–74 Individuen realistischer.</w:t>
      </w:r>
    </w:p>
    <w:p>
      <w:pPr>
        <w:jc w:val="left"/>
      </w:pPr>
      <w:r>
        <w:rPr>
          <w:b/>
        </w:rPr>
        <w:t>Mangel 3 — CEF-Maßnahme nicht vorgezogen</w:t>
      </w:r>
      <w:r>
        <w:t>: Die CEF-Maßnahme auf der Rummelsburger Heide wurde laut städtebaulichem Vertrag erst „vor Baubeginn" herzustellen. Das BVerwG verlangt demgegenüber, dass CEF-Maßnahmen vollständig funktionsfähig sind, bevor der Eingriff in die Fortpflanzungs-/Ruhestätten erfolgt (BVerwG, Urt. v. 14.07.2011 — 9 A 12.10).</w:t>
      </w:r>
    </w:p>
    <w:p>
      <w:pPr>
        <w:jc w:val="left"/>
      </w:pPr>
      <w:r>
        <w:rPr>
          <w:b/>
        </w:rPr>
        <w:t>Mangel 4 — Kapazitätsprüfung Ersatzhabitat unterblieben</w:t>
      </w:r>
      <w:r>
        <w:t>: Die Rummelsburger Heide beherbergt bereits eine eigene Zauneidechsenpopulation (Nachweis: BUND-Kartierung 2023, 41 Individuen auf 1,1 ha). Die Aufnahmekapazität für eine weitere Teilpopulation wurde nicht untersucht; Interspezifische Territorialkonflikte sind wahrscheinlich.</w:t>
      </w:r>
    </w:p>
    <w:p>
      <w:pPr>
        <w:jc w:val="left"/>
      </w:pPr>
      <w:r>
        <w:rPr>
          <w:b/>
        </w:rPr>
        <w:t>Mangel 5 — Tötungsrisiko während Baufeldräumung</w:t>
      </w:r>
      <w:r>
        <w:t>: Der B-Plan und der städtebauliche Vertrag enthalten keine Regelung zur ökologischen Baubegleitung (ÖBB) mit Reptilienschutzzaun und Vergrämungsmaßnahmen vor Beginn der Erdarbeiten.</w:t>
      </w:r>
    </w:p>
    <w:p/>
    <w:p>
      <w:pPr>
        <w:pStyle w:val="Heading2"/>
      </w:pPr>
      <w:r>
        <w:rPr>
          <w:rFonts w:ascii="Times New Roman" w:hAnsi="Times New Roman"/>
        </w:rPr>
        <w:t>4. Rechtliche Konsequenz</w:t>
      </w:r>
    </w:p>
    <w:p>
      <w:pPr>
        <w:jc w:val="left"/>
      </w:pPr>
      <w:r>
        <w:t>Die festgestellten Mängel des Artenschutzgutachtens führen dazu, dass die Tötungs- und Störungsverbote des § 44 Abs. 1 Nr. 1 und 2 BNatSchG nicht mit hinreichender Sicherheit ausgeschlossen werden können. Ein Bebauungsplan, der Artenschutzkonflikte nicht vollständig löst, ist im Normenkontrollverfahren für unwirksam zu erklären (BVerwG, Urt. v. 18.03.2009 — 9 A 39.07, BVerwGE 133, 239; BVerwG, Beschl. v. 25.08.1997 — 4 BN 4.97).</w:t>
      </w:r>
    </w:p>
    <w:p/>
    <w:p>
      <w:pPr>
        <w:pStyle w:val="Heading2"/>
      </w:pPr>
      <w:r>
        <w:rPr>
          <w:rFonts w:ascii="Times New Roman" w:hAnsi="Times New Roman"/>
        </w:rPr>
        <w:t>5. Forderungen der BI</w:t>
      </w:r>
    </w:p>
    <w:p>
      <w:pPr>
        <w:pStyle w:val="ListNumber"/>
      </w:pPr>
      <w:r>
        <w:t>Neukartierung Zauneidechse nach BfN-Methodenstandard (min. 5 Begehungen) vor Satzungsbeschluss.</w:t>
      </w:r>
    </w:p>
    <w:p>
      <w:pPr>
        <w:pStyle w:val="ListNumber"/>
      </w:pPr>
      <w:r>
        <w:t>Nachweis der Funktionsfähigkeit der CEF-Maßnahme Rummelsburger Heide vor Baubeginn durch unabhängiges Institut.</w:t>
      </w:r>
    </w:p>
    <w:p>
      <w:pPr>
        <w:pStyle w:val="ListNumber"/>
      </w:pPr>
      <w:r>
        <w:t>Regelung ökologische Baubegleitung (ÖBB) im B-Plan (§ 9 Abs. 1 Nr. 20 BauGB) oder städtebaulichem Vertrag.</w:t>
      </w:r>
    </w:p>
    <w:p>
      <w:pPr>
        <w:pStyle w:val="ListNumber"/>
      </w:pPr>
      <w:r>
        <w:t>Hilfsweise: Artenschutzrechtliche Ausnahmeentscheidung der UNB Berlin.</w:t>
      </w:r>
    </w:p>
    <w:p>
      <w:pPr>
        <w:jc w:val="left"/>
      </w:pPr>
      <w:r>
        <w:t>Quellen: dejure.org (§ 44 BNatSchG, § 45 BNatSchG); BVerwG, Urt. v. 14.07.2011 — 9 A 12.10 (bundesverwaltungsgericht.de); BVerwG, Urt. v. 18.03.2009 — 9 A 39.07 (bundesverwaltungsgericht.de); openjur.de.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Grünplan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Grünplan GmbH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