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 Rechtsmittel Bundesverwaltungsgericht — Nichtzulassungsbeschwerde der Beigeladenen</w:t>
      </w:r>
    </w:p>
    <w:p>
      <w:pPr>
        <w:jc w:val="left"/>
      </w:pPr>
      <w:r>
        <w:t>Bundesverwaltungsgericht Leipzig</w:t>
      </w:r>
    </w:p>
    <w:p>
      <w:pPr>
        <w:jc w:val="left"/>
      </w:pPr>
      <w:r>
        <w:t>Simsonplatz 1</w:t>
      </w:r>
    </w:p>
    <w:p>
      <w:pPr>
        <w:jc w:val="left"/>
      </w:pPr>
      <w:r>
        <w:t>04107 Leipzig</w:t>
      </w:r>
    </w:p>
    <w:p>
      <w:pPr>
        <w:jc w:val="left"/>
      </w:pPr>
      <w:r>
        <w:rPr>
          <w:b/>
        </w:rPr>
        <w:t>Nichtzulassungsbeschwerde</w:t>
      </w:r>
    </w:p>
    <w:p>
      <w:pPr>
        <w:jc w:val="left"/>
      </w:pPr>
      <w:r>
        <w:t>gegen das Urteil des OVG Berlin-Brandenburg vom 15. Oktober 2026 · AZ 10 A 1.26</w:t>
      </w:r>
    </w:p>
    <w:p>
      <w:pPr>
        <w:jc w:val="left"/>
      </w:pPr>
      <w:r>
        <w:t>Beschwerdeführerin: Bauland Spreepark GmbH, Unter den Linden 12, 10117 Berlin</w:t>
      </w:r>
    </w:p>
    <w:p>
      <w:pPr>
        <w:jc w:val="left"/>
      </w:pPr>
      <w:r>
        <w:t>Prozessbevollmächtigte: RAe Schmitz, Meister &amp; Partner (RA Dr. Florian Meister-Hagenbach)</w:t>
      </w:r>
    </w:p>
    <w:p>
      <w:pPr>
        <w:jc w:val="left"/>
      </w:pPr>
      <w:r>
        <w:t>Beschwerdegegner: Antragstellerin (BI „Rettet den Spreeuferpark")</w:t>
      </w:r>
    </w:p>
    <w:p/>
    <w:p>
      <w:pPr>
        <w:pStyle w:val="Heading2"/>
      </w:pPr>
      <w:r>
        <w:rPr>
          <w:rFonts w:ascii="Times New Roman" w:hAnsi="Times New Roman"/>
        </w:rPr>
        <w:t>I. Zulässigkeit der Nichtzulassungsbeschwerde</w:t>
      </w:r>
    </w:p>
    <w:p>
      <w:pPr>
        <w:jc w:val="left"/>
      </w:pPr>
      <w:r>
        <w:t>Das OVG Berlin-Brandenburg hat in seinem Urteil vom 15.10.2026 die Revision nicht zugelassen. Die Beigeladene legt Nichtzulassungsbeschwerde nach § 133 VwGO ein.</w:t>
      </w:r>
    </w:p>
    <w:p>
      <w:pPr>
        <w:jc w:val="left"/>
      </w:pPr>
      <w:r>
        <w:t>Frist: Nichtzulassungsbeschwerde ist innerhalb eines Monats nach Zustellung des vollständigen Urteils einzulegen und innerhalb von zwei Monaten zu begründen (§ 133 Abs. 2, 3 VwGO). Urteil wurde der Beigeladenen am 22.10.2026 zugestellt; Frist für Einlegung: 22.11.2026.</w:t>
      </w:r>
    </w:p>
    <w:p/>
    <w:p>
      <w:pPr>
        <w:pStyle w:val="Heading2"/>
      </w:pPr>
      <w:r>
        <w:rPr>
          <w:rFonts w:ascii="Times New Roman" w:hAnsi="Times New Roman"/>
        </w:rPr>
        <w:t>II. Zulassungsgründe (§ 132 Abs. 2 VwGO)</w:t>
      </w:r>
    </w:p>
    <w:p>
      <w:pPr>
        <w:pStyle w:val="Heading3"/>
      </w:pPr>
      <w:r>
        <w:rPr>
          <w:rFonts w:ascii="Times New Roman" w:hAnsi="Times New Roman"/>
        </w:rPr>
        <w:t>1. Grundsätzliche Bedeutung (§ 132 Abs. 2 Nr. 1 VwGO)</w:t>
      </w:r>
    </w:p>
    <w:p>
      <w:pPr>
        <w:pStyle w:val="Heading3"/>
      </w:pPr>
      <w:r>
        <w:rPr>
          <w:rFonts w:ascii="Times New Roman" w:hAnsi="Times New Roman"/>
        </w:rPr>
        <w:t>a) Zauneidechse — CEF-Maßnahme und Vorzugspflicht</w:t>
      </w:r>
    </w:p>
    <w:p>
      <w:pPr>
        <w:jc w:val="left"/>
      </w:pPr>
      <w:r>
        <w:rPr>
          <w:b/>
        </w:rPr>
        <w:t>Rechtsfrage</w:t>
      </w:r>
      <w:r>
        <w:t>: Verlangt § 44 Abs. 1 Nr. 3 BNatSchG i.V.m. der BVerwG-Rechtsprechung zu CEF-Maßnahmen (BVerwG, Urt. v. 14.07.2011 — 9 A 12.10) auch in Bebauungsplanverfahren, dass die CEF-Maßnahme bereits im Zeitpunkt des Satzungsbeschlusses vollständig hergestellt und funktionsfähig ist, oder genügt eine vertragliche Sicherung vor Baubeginn?</w:t>
      </w:r>
    </w:p>
    <w:p>
      <w:pPr>
        <w:jc w:val="left"/>
      </w:pPr>
      <w:r>
        <w:rPr>
          <w:b/>
        </w:rPr>
        <w:t>Begründung</w:t>
      </w:r>
      <w:r>
        <w:t>: Das OVG hat die CEF-Maßnahme als unzureichend bewertet, obwohl der städtebauliche Vertrag die Herstellung vor Baubeginn sichert. Die Rechtsprechung des BVerwG (9 A 12.10) ist primär für Planfeststellungsverfahren entwickelt worden; ihre Übertragung auf Bebauungsplanverfahren ist in der Literatur umstritten (Schumacher/Fischer-Hüftle, BNatSchG, § 44 Rn. 47; a.A. Gellermann, Artenschutz im Bebauungsplanverfahren, NVwZ 2021, S. 1121). Diese Rechtsfrage ist bislang vom BVerwG nicht ausdrücklich für Bebauungsplanverfahren entschieden worden.</w:t>
      </w:r>
    </w:p>
    <w:p>
      <w:pPr>
        <w:pStyle w:val="Heading3"/>
      </w:pPr>
      <w:r>
        <w:rPr>
          <w:rFonts w:ascii="Times New Roman" w:hAnsi="Times New Roman"/>
        </w:rPr>
        <w:t>b) Klimaanpassungsbelang — Abwägungsrelevanz informeller Planungsinstrumente</w:t>
      </w:r>
    </w:p>
    <w:p>
      <w:pPr>
        <w:jc w:val="left"/>
      </w:pPr>
      <w:r>
        <w:rPr>
          <w:b/>
        </w:rPr>
        <w:t>Rechtsfrage</w:t>
      </w:r>
      <w:r>
        <w:t>: Begründet die Ausweisung eines Grundstücks im Klimaatlas einer Gemeinde als „klimatisch bedeutsame Freifläche" eine Abwägungspflicht nach § 2 Abs. 3 BauGB, obwohl der Klimaatlas kein rechtsverbindliches Instrument darstellt?</w:t>
      </w:r>
    </w:p>
    <w:p>
      <w:pPr>
        <w:jc w:val="left"/>
      </w:pPr>
      <w:r>
        <w:rPr>
          <w:b/>
        </w:rPr>
        <w:t>Begründung</w:t>
      </w:r>
      <w:r>
        <w:t>: Das OVG hat die Nichtbefassung mit dem Klimaatlas Berlin als Ermittlungsdefizit gewertet. Dies ist eine Frage von grundsätzlicher Bedeutung: Würde diese Auffassung verallgemeinert, müssten Gemeinden bei jeder Planung sämtliche informellen Planwerke (Klimaatlanten, Lärmkarten, Stadtentwicklungskonzepte) ermitteln und in die Abwägung einbeziehen. Der Umfang der Ermittlungspflicht nach § 2 Abs. 3 BauGB bei informellen Planungsinstrumenten ist vom BVerwG noch nicht abschließend geklärt (BVerwG, Urt. v. 19.09.2002 — 4 CN 1.02 ist auf Abstandsflächenrecht, nicht Klimaschutz bezogen).</w:t>
      </w:r>
    </w:p>
    <w:p>
      <w:pPr>
        <w:pStyle w:val="Heading3"/>
      </w:pPr>
      <w:r>
        <w:rPr>
          <w:rFonts w:ascii="Times New Roman" w:hAnsi="Times New Roman"/>
        </w:rPr>
        <w:t>2. Divergenz (§ 132 Abs. 2 Nr. 2 VwGO)</w:t>
      </w:r>
    </w:p>
    <w:p>
      <w:pPr>
        <w:jc w:val="left"/>
      </w:pPr>
      <w:r>
        <w:t>Das OVG ist von dem BVerwG-Urteil v. 22.03.2007 — 4 CN 2.06 abgewichen. Das BVerwG hat entschieden, dass passiver Schallschutz durch Festsetzung von Schallschutzfenstern grundsätzlich geeignet ist, Lärmkonflikte in einem Bebauungsplan zu bewältigen. Das OVG hat demgegenüber verlangt, dass zusätzlich ein Lüftungskonzept festgesetzt wird; dies geht über die BVerwG-Vorgaben hinaus.</w:t>
      </w:r>
    </w:p>
    <w:p>
      <w:pPr>
        <w:jc w:val="left"/>
      </w:pPr>
      <w:r>
        <w:t>[Anm. Kanzlei BT: Die Divergenz-Rüge ist vertretbar, aber nicht zwingend: BVerwG 4 CN 2.06 lässt offen, ob bei Nachtpegeln über 60 dB(A) passiver Schallschutz allein genügt.]</w:t>
      </w:r>
    </w:p>
    <w:p/>
    <w:p>
      <w:pPr>
        <w:pStyle w:val="Heading2"/>
      </w:pPr>
      <w:r>
        <w:rPr>
          <w:rFonts w:ascii="Times New Roman" w:hAnsi="Times New Roman"/>
        </w:rPr>
        <w:t>III. Reaktion der Kanzlei (Beschwerdegegnerin)</w:t>
      </w:r>
    </w:p>
    <w:p>
      <w:pPr>
        <w:jc w:val="left"/>
      </w:pPr>
      <w:r>
        <w:t>RAin Dr. Pohl-Krauss wird für die Antragstellerin (Beschwerdegegnerin) die Nichtzulassungsbeschwerde fristgerecht entgegennehmen und eine Erwiderung einreichen.</w:t>
      </w:r>
    </w:p>
    <w:p>
      <w:pPr>
        <w:jc w:val="left"/>
      </w:pPr>
      <w:r>
        <w:rPr>
          <w:b/>
        </w:rPr>
        <w:t>Vorläufige Einschätzung</w:t>
      </w:r>
      <w:r>
        <w:t>: Die Nichtzulassungsbeschwerde ist nicht aussichtslos. Die Grundsatzfrage zur CEF-Maßnahme im B-Plan-Verfahren ist in der Tat vom BVerwG noch nicht ausdrücklich entschieden; es ist möglich, dass das BVerwG die Revision zulässt. Die Klimaanpassungsfrage dürfte dagegen am strengen Maßstab des § 132 Abs. 2 Nr. 1 VwGO (kein konkreter Rechtssatz des OVG von grundsätzlicher Klärungsbedürftigkeit) scheitern.</w:t>
      </w:r>
    </w:p>
    <w:p>
      <w:pPr>
        <w:jc w:val="left"/>
      </w:pPr>
      <w:r>
        <w:rPr>
          <w:b/>
        </w:rPr>
        <w:t>Strategieempfehlung</w:t>
      </w:r>
      <w:r>
        <w:t>: BI sollte vorsorglich prüfen, ob eine Revision des Antragsgegners (Land Berlin) droht. Das Land Berlin hat seinerseits keine Nichtzulassungsbeschwerde eingelegt; die Revision ist damit für das Land Berlin verfristet.</w:t>
      </w:r>
    </w:p>
    <w:p>
      <w:pPr>
        <w:jc w:val="left"/>
      </w:pPr>
      <w:r>
        <w:rPr>
          <w:b/>
        </w:rPr>
        <w:t>Mögliche Rückabwicklung</w:t>
      </w:r>
      <w:r>
        <w:t>: Bei Revisionserfolg der Beigeladenen und Zurückverweisung an OVG müsste das Verfahren erneut aufgerollt werden; der B-Plan bliebe bis zur Rechtskraft des OVG-Urteils nach § 47 Abs. 5 Satz 3 VwGO unwirksam.</w:t>
      </w:r>
    </w:p>
    <w:p/>
    <w:p>
      <w:pPr>
        <w:pStyle w:val="Heading2"/>
      </w:pPr>
      <w:r>
        <w:rPr>
          <w:rFonts w:ascii="Times New Roman" w:hAnsi="Times New Roman"/>
        </w:rPr>
        <w:t>IV. Kostenrisiko</w:t>
      </w:r>
    </w:p>
    <w:p>
      <w:pPr>
        <w:jc w:val="left"/>
      </w:pPr>
      <w:r>
        <w:t>Sollte die Nichtzulassungsbeschwerde scheitern: Kosten des Beschwerdeverfahrens trägt die Beschwerdeführerin (Beigeladene). Gerichtswert Normenkontrolle: i.d.R. 30.000–60.000 EUR (OVG Berlin-Brandenburg); Gerichtswert NZB: variabel.</w:t>
      </w:r>
    </w:p>
    <w:p>
      <w:pPr>
        <w:jc w:val="left"/>
      </w:pPr>
      <w:r>
        <w:t>Quellen: dejure.org (§ 132 VwGO, § 133 VwGO, § 47 VwGO); BVerwG, Urt. v. 14.07.2011 — 9 A 12.10 (bundesverwaltungsgericht.de); BVerwG, Urt. v. 22.03.2007 — 4 CN 2.06 (bundesverwaltungsgericht.de); openjur.de; bundesverwaltungsgericht.de.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Bundesverwaltungsgericht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Bundesverwaltungsgericht Leipzig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