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UPC-Verletzungsklage ACT_0188/2026, Lokale Kammer Düsseldorf</w:t>
      </w:r>
    </w:p>
    <w:p>
      <w:pPr>
        <w:jc w:val="left"/>
      </w:pPr>
      <w:r>
        <w:rPr>
          <w:b/>
        </w:rPr>
        <w:t>Aktenzeichen intern:</w:t>
      </w:r>
      <w:r>
        <w:t xml:space="preserve"> VM-2026-GR-001</w:t>
      </w:r>
    </w:p>
    <w:p>
      <w:pPr>
        <w:jc w:val="left"/>
      </w:pPr>
      <w:r>
        <w:rPr>
          <w:b/>
        </w:rPr>
        <w:t>UPC-Aktenzeichen:</w:t>
      </w:r>
      <w:r>
        <w:t xml:space="preserve"> ACT_0188/2026</w:t>
      </w:r>
    </w:p>
    <w:p>
      <w:pPr>
        <w:jc w:val="left"/>
      </w:pPr>
      <w:r>
        <w:rPr>
          <w:b/>
        </w:rPr>
        <w:t>Gericht:</w:t>
      </w:r>
      <w:r>
        <w:t xml:space="preserve"> Unified Patent Court (UPC), Lokale Kammer Düsseldorf</w:t>
      </w:r>
    </w:p>
    <w:p>
      <w:pPr>
        <w:jc w:val="left"/>
      </w:pPr>
      <w:r>
        <w:rPr>
          <w:b/>
        </w:rPr>
        <w:t>Kläger:</w:t>
      </w:r>
      <w:r>
        <w:t xml:space="preserve"> Vellbruck Medizintechnik GmbH, Stuttgart-Vaihingen</w:t>
      </w:r>
    </w:p>
    <w:p>
      <w:pPr>
        <w:jc w:val="left"/>
      </w:pPr>
      <w:r>
        <w:rPr>
          <w:b/>
        </w:rPr>
        <w:t>Beklagte zu 1:</w:t>
      </w:r>
      <w:r>
        <w:t xml:space="preserve"> TitanOrtho Sp. z o.o., Wroclaw</w:t>
      </w:r>
    </w:p>
    <w:p>
      <w:pPr>
        <w:jc w:val="left"/>
      </w:pPr>
      <w:r>
        <w:rPr>
          <w:b/>
        </w:rPr>
        <w:t>Beklagte zu 2:</w:t>
      </w:r>
      <w:r>
        <w:t xml:space="preserve"> Bochstaedt MedSupply OHG, Aalen</w:t>
      </w:r>
    </w:p>
    <w:p>
      <w:pPr>
        <w:jc w:val="left"/>
      </w:pPr>
      <w:r>
        <w:rPr>
          <w:b/>
        </w:rPr>
        <w:t>Datum der Klageerhebung:</w:t>
      </w:r>
      <w:r>
        <w:t xml:space="preserve"> 04. Februar 2026</w:t>
      </w:r>
    </w:p>
    <w:p>
      <w:pPr>
        <w:jc w:val="left"/>
      </w:pPr>
      <w:r>
        <w:rPr>
          <w:b/>
        </w:rPr>
        <w:t>Bearbeiter:</w:t>
      </w:r>
      <w:r>
        <w:t xml:space="preserve"> RA Dr. Rademakers (Rademakers IP, Düsseldorf) / RA Dr. Birkenhainer</w:t>
      </w:r>
    </w:p>
    <w:p/>
    <w:p>
      <w:pPr>
        <w:pStyle w:val="Heading2"/>
      </w:pPr>
      <w:r>
        <w:rPr>
          <w:rFonts w:ascii="Times New Roman" w:hAnsi="Times New Roman"/>
        </w:rPr>
        <w:t>1. Verfahrensgrundlagen und Gerichtsstand</w:t>
      </w:r>
    </w:p>
    <w:p>
      <w:pPr>
        <w:pStyle w:val="Heading3"/>
      </w:pPr>
      <w:r>
        <w:rPr>
          <w:rFonts w:ascii="Times New Roman" w:hAnsi="Times New Roman"/>
        </w:rPr>
        <w:t>1.1 Zuständigkeit des UPC</w:t>
      </w:r>
    </w:p>
    <w:p>
      <w:pPr>
        <w:jc w:val="left"/>
      </w:pPr>
      <w:r>
        <w:t>Der Unified Patent Court (UPC) wurde durch das Übereinkommen über einen Einheitlichen Patentgerichtshof (UPCA, unterzeichnet 19.02.2013, in Kraft seit 01.06.2023) errichtet. Gem. Art. 33 Abs. 1 lit. a UPCA ist die Lokale Kammer am Ort der tatsächlichen oder drohenden Verletzung zuständig. Die Verletzungshandlungen der Beklagten zu 2 (Bochstaedt MedSupply OHG) finden in Deutschland statt (Import, Lagerung in Aalen, Vertrieb an deutsche Kliniken). Die Beklagte zu 1 (TitanOrtho) ist durch Art. 33 Abs. 2 UPCA ebenfalls in das Verfahren einbeziehbar, da sie eng mit der Beklagten zu 2 zusammenwirkt und der UPC für die Beklagte zu 2 zuständig ist.</w:t>
      </w:r>
    </w:p>
    <w:p>
      <w:pPr>
        <w:jc w:val="left"/>
      </w:pPr>
      <w:r>
        <w:t>Sprache des Verfahrens: Deutsch (Regel 14.2 UPC Rules of Procedure; Lokale Kammer Düsseldorf bestätigt Deutsch als Verfahrenssprache mit Beschluss vom 10.01.2026).</w:t>
      </w:r>
    </w:p>
    <w:p>
      <w:pPr>
        <w:pStyle w:val="Heading3"/>
      </w:pPr>
      <w:r>
        <w:rPr>
          <w:rFonts w:ascii="Times New Roman" w:hAnsi="Times New Roman"/>
        </w:rPr>
        <w:t>1.2 Anwendbares Recht</w:t>
      </w:r>
    </w:p>
    <w:p>
      <w:pPr>
        <w:pStyle w:val="ListBullet"/>
      </w:pPr>
      <w:r>
        <w:t>Patentverletzung: § 139 Abs. 1 PatG (dejure.org) i.V.m. Art. 25 UPCA</w:t>
      </w:r>
    </w:p>
    <w:p>
      <w:pPr>
        <w:pStyle w:val="ListBullet"/>
      </w:pPr>
      <w:r>
        <w:t>Auskunft und Rechnungslegung: § 140b PatG (dejure.org)</w:t>
      </w:r>
    </w:p>
    <w:p>
      <w:pPr>
        <w:pStyle w:val="ListBullet"/>
      </w:pPr>
      <w:r>
        <w:t>Schadensersatz: § 139 Abs. 2 PatG (dejure.org)</w:t>
      </w:r>
    </w:p>
    <w:p>
      <w:pPr>
        <w:pStyle w:val="ListBullet"/>
      </w:pPr>
      <w:r>
        <w:t>Vernichtung: § 140a PatG (dejure.org)</w:t>
      </w:r>
    </w:p>
    <w:p>
      <w:pPr>
        <w:pStyle w:val="ListBullet"/>
      </w:pPr>
      <w:r>
        <w:t>Grenzbeschlagnahme: Art. 62 UPCA i.V.m. VO (EU) 608/2013</w:t>
      </w:r>
    </w:p>
    <w:p>
      <w:pPr>
        <w:pStyle w:val="ListBullet"/>
      </w:pPr>
      <w:r>
        <w:t>Beweissicherung: Art. 60 UPCA (Preservation of evidence)</w:t>
      </w:r>
    </w:p>
    <w:p/>
    <w:p>
      <w:pPr>
        <w:pStyle w:val="Heading2"/>
      </w:pPr>
      <w:r>
        <w:rPr>
          <w:rFonts w:ascii="Times New Roman" w:hAnsi="Times New Roman"/>
        </w:rPr>
        <w:t>2. Klageanträge</w:t>
      </w:r>
    </w:p>
    <w:p>
      <w:pPr>
        <w:jc w:val="left"/>
      </w:pPr>
      <w:r>
        <w:t>Die Klage enthält folgende Anträge (zusammenfassend; vollständige Fassung in Anlage DOCX-01):</w:t>
      </w:r>
    </w:p>
    <w:p>
      <w:pPr>
        <w:jc w:val="left"/>
      </w:pPr>
      <w:r>
        <w:rPr>
          <w:b/>
        </w:rPr>
        <w:t>I. Unterlassung</w:t>
      </w:r>
    </w:p>
    <w:p>
      <w:pPr>
        <w:jc w:val="left"/>
      </w:pPr>
      <w:r>
        <w:t>Den Beklagten wird — unter Androhung eines Ordnungsgeldes von bis zu 250.000 EUR oder, wenn dieses nicht beigetrieben werden kann, Ordnungshaft, oder Ordnungshaft bis zu sechs Monaten — verboten,</w:t>
      </w:r>
    </w:p>
    <w:p>
      <w:pPr>
        <w:jc w:val="left"/>
      </w:pPr>
      <w:r>
        <w:t>Schaftimplantate für Hüftendoprothesen, die alle Merkmale des Anspruchs 1 des EP 3 218 922 B1 aufweisen, namentlich das Produkt "TitanFlex Pro" (CE-Zertifikat Nr. DE/CA08/0044/2024), in Mitgliedstaaten des UPCA, insbesondere in der Bundesrepublik Deutschland, herzustellen (Beklagte zu 1), anzubieten, in Verkehr zu bringen, zu gebrauchen oder zu den genannten Zwecken einzuführen oder zu besitzen (Beklagte zu 1 und 2).</w:t>
      </w:r>
    </w:p>
    <w:p>
      <w:pPr>
        <w:jc w:val="left"/>
      </w:pPr>
      <w:r>
        <w:rPr>
          <w:b/>
        </w:rPr>
        <w:t>II. Auskunft und Rechnungslegung</w:t>
      </w:r>
    </w:p>
    <w:p>
      <w:pPr>
        <w:jc w:val="left"/>
      </w:pPr>
      <w:r>
        <w:t>Die Beklagten werden verurteilt, der Klägerin Auskunft zu erteilen und Rechnung zu legen über alle Handlungen gem. § 140b Abs. 1 PatG, insbesondere Herstellungsmengen, Lieferanten, Abnehmer, Einstandspreise, Verkaufspreise und Gewinne bezüglich TitanFlex Pro seit dem 18. Oktober 2024.</w:t>
      </w:r>
    </w:p>
    <w:p>
      <w:pPr>
        <w:jc w:val="left"/>
      </w:pPr>
      <w:r>
        <w:rPr>
          <w:b/>
        </w:rPr>
        <w:t>III. Vernichtung</w:t>
      </w:r>
    </w:p>
    <w:p>
      <w:pPr>
        <w:jc w:val="left"/>
      </w:pPr>
      <w:r>
        <w:t>Die Beklagte zu 2 wird verurteilt, alle in ihrem Besitz oder Eigentum befindlichen Exemplare des Produkts "TitanFlex Pro" zu vernichten oder vernichten zu lassen (§ 140a PatG).</w:t>
      </w:r>
    </w:p>
    <w:p>
      <w:pPr>
        <w:jc w:val="left"/>
      </w:pPr>
      <w:r>
        <w:rPr>
          <w:b/>
        </w:rPr>
        <w:t>IV. Schadensersatz (dem Grunde nach)</w:t>
      </w:r>
    </w:p>
    <w:p>
      <w:pPr>
        <w:jc w:val="left"/>
      </w:pPr>
      <w:r>
        <w:t>Die Beklagten werden gesamtschuldnerisch verurteilt, der Klägerin den durch die Verletzungshandlungen entstandenen und noch entstehenden Schaden zu ersetzen. Die Schadensberechnung bleibt einem nachfolgenden Betragsverfahren vorbehalten (vorläufig: Lizenzanalogie gem. § 139 Abs. 2 PatG).</w:t>
      </w:r>
    </w:p>
    <w:p>
      <w:pPr>
        <w:jc w:val="left"/>
      </w:pPr>
      <w:r>
        <w:rPr>
          <w:b/>
        </w:rPr>
        <w:t>V. Kostenerstattung</w:t>
      </w:r>
    </w:p>
    <w:p>
      <w:pPr>
        <w:jc w:val="left"/>
      </w:pPr>
      <w:r>
        <w:t>Die Beklagten tragen die Kosten des Verfahrens.</w:t>
      </w:r>
    </w:p>
    <w:p/>
    <w:p>
      <w:pPr>
        <w:pStyle w:val="Heading2"/>
      </w:pPr>
      <w:r>
        <w:rPr>
          <w:rFonts w:ascii="Times New Roman" w:hAnsi="Times New Roman"/>
        </w:rPr>
        <w:t>3. Streitwert und Gebühren</w:t>
      </w:r>
    </w:p>
    <w:p>
      <w:pPr>
        <w:jc w:val="left"/>
      </w:pPr>
      <w:r>
        <w:t>Der vorläufige Streitwert wurde auf 4.500.000 EUR festgesetzt. Maßgeblich ist der wirtschaftliche Wert der Verletzung aus Sicht der Klägerin: Der deutsche Markt für zementfreie Hüftschaft-Implantate wird auf ca. 380 Mio. EUR p.a. geschätzt; TitanFlex Pro hat nach Erkenntnissen der Klägerin innerhalb von Q4 2024 und Q1 2025 ca. 1.400 Einheiten abgesetzt (Durchschnittspreis ca. 2.800 EUR/Einheit = ca. 3,92 Mio. EUR Umsatz Beklagte).</w:t>
      </w:r>
    </w:p>
    <w:p>
      <w:pPr>
        <w:jc w:val="left"/>
      </w:pPr>
      <w:r>
        <w:t>UPC-Gerichtsgebühren für die Klage: 11.000 EUR Grundgebühr + 2.500 EUR Streitwertgebühr bei Streitwert 4,5 Mio. EUR (vgl. Annex I UPC Agreement on Court Fees). Gebühren entrichtet am 03.02.2026.</w:t>
      </w:r>
    </w:p>
    <w:p/>
    <w:p>
      <w:pPr>
        <w:pStyle w:val="Heading2"/>
      </w:pPr>
      <w:r>
        <w:rPr>
          <w:rFonts w:ascii="Times New Roman" w:hAnsi="Times New Roman"/>
        </w:rPr>
        <w:t>4. Verfahrensstand und Prozessablauf</w:t>
      </w:r>
    </w:p>
    <w:p>
      <w:pPr>
        <w:pStyle w:val="Heading3"/>
      </w:pPr>
      <w:r>
        <w:rPr>
          <w:rFonts w:ascii="Times New Roman" w:hAnsi="Times New Roman"/>
        </w:rPr>
        <w:t>4.1 Zustellung</w:t>
      </w:r>
    </w:p>
    <w:p>
      <w:pPr>
        <w:jc w:val="left"/>
      </w:pPr>
      <w:r>
        <w:t>Die Klageschrift wurde von der UPC-Kanzlei am 04. März 2026 an TitanOrtho (Zustellung nach polnischem Recht, Klagen-Zustellungsformular Anlage A-10) und Bochstaedt MedSupply OHG (Zustellung am 03. März 2026) zugestellt. Die Eingangsbestätigung der Kanzlei des UPC Düsseldorf lag am 22. Februar 2026 vor (E-Mail-Anlage EML-02).</w:t>
      </w:r>
    </w:p>
    <w:p>
      <w:pPr>
        <w:pStyle w:val="Heading3"/>
      </w:pPr>
      <w:r>
        <w:rPr>
          <w:rFonts w:ascii="Times New Roman" w:hAnsi="Times New Roman"/>
        </w:rPr>
        <w:t>4.2 Fristenkalender UPC-Verfahren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Schritt</w:t>
            </w:r>
          </w:p>
        </w:tc>
      </w:tr>
      <w:tr>
        <w:tc>
          <w:tcPr>
            <w:tcW w:type="dxa" w:w="4536"/>
          </w:tcPr>
          <w:p>
            <w:r>
              <w:rPr>
                <w:rFonts w:ascii="Times New Roman" w:hAnsi="Times New Roman"/>
                <w:sz w:val="20"/>
              </w:rPr>
              <w:t>04.02.2026</w:t>
            </w:r>
          </w:p>
        </w:tc>
        <w:tc>
          <w:tcPr>
            <w:tcW w:type="dxa" w:w="4536"/>
          </w:tcPr>
          <w:p>
            <w:r>
              <w:rPr>
                <w:rFonts w:ascii="Times New Roman" w:hAnsi="Times New Roman"/>
                <w:sz w:val="20"/>
              </w:rPr>
              <w:t>Klageeinreichung + Gebührenentrichtung</w:t>
            </w:r>
          </w:p>
        </w:tc>
      </w:tr>
      <w:tr>
        <w:tc>
          <w:tcPr>
            <w:tcW w:type="dxa" w:w="4536"/>
          </w:tcPr>
          <w:p>
            <w:r>
              <w:rPr>
                <w:rFonts w:ascii="Times New Roman" w:hAnsi="Times New Roman"/>
                <w:sz w:val="20"/>
              </w:rPr>
              <w:t>04.03.2026</w:t>
            </w:r>
          </w:p>
        </w:tc>
        <w:tc>
          <w:tcPr>
            <w:tcW w:type="dxa" w:w="4536"/>
          </w:tcPr>
          <w:p>
            <w:r>
              <w:rPr>
                <w:rFonts w:ascii="Times New Roman" w:hAnsi="Times New Roman"/>
                <w:sz w:val="20"/>
              </w:rPr>
              <w:t>Zustellung an Beklagte</w:t>
            </w:r>
          </w:p>
        </w:tc>
      </w:tr>
      <w:tr>
        <w:tc>
          <w:tcPr>
            <w:tcW w:type="dxa" w:w="4536"/>
          </w:tcPr>
          <w:p>
            <w:r>
              <w:rPr>
                <w:rFonts w:ascii="Times New Roman" w:hAnsi="Times New Roman"/>
                <w:sz w:val="20"/>
              </w:rPr>
              <w:t>04.05.2026</w:t>
            </w:r>
          </w:p>
        </w:tc>
        <w:tc>
          <w:tcPr>
            <w:tcW w:type="dxa" w:w="4536"/>
          </w:tcPr>
          <w:p>
            <w:r>
              <w:rPr>
                <w:rFonts w:ascii="Times New Roman" w:hAnsi="Times New Roman"/>
                <w:sz w:val="20"/>
              </w:rPr>
              <w:t>Klageerwiderung (Frist: 2 Monate ab Zustellung, Regel 23 UPC Rules)</w:t>
            </w:r>
          </w:p>
        </w:tc>
      </w:tr>
      <w:tr>
        <w:tc>
          <w:tcPr>
            <w:tcW w:type="dxa" w:w="4536"/>
          </w:tcPr>
          <w:p>
            <w:r>
              <w:rPr>
                <w:rFonts w:ascii="Times New Roman" w:hAnsi="Times New Roman"/>
                <w:sz w:val="20"/>
              </w:rPr>
              <w:t>15.06.2026</w:t>
            </w:r>
          </w:p>
        </w:tc>
        <w:tc>
          <w:tcPr>
            <w:tcW w:type="dxa" w:w="4536"/>
          </w:tcPr>
          <w:p>
            <w:r>
              <w:rPr>
                <w:rFonts w:ascii="Times New Roman" w:hAnsi="Times New Roman"/>
                <w:sz w:val="20"/>
              </w:rPr>
              <w:t>Replik Klägerin (erwartet, sofern Gericht zulässt)</w:t>
            </w:r>
          </w:p>
        </w:tc>
      </w:tr>
      <w:tr>
        <w:tc>
          <w:tcPr>
            <w:tcW w:type="dxa" w:w="4536"/>
          </w:tcPr>
          <w:p>
            <w:r>
              <w:rPr>
                <w:rFonts w:ascii="Times New Roman" w:hAnsi="Times New Roman"/>
                <w:sz w:val="20"/>
              </w:rPr>
              <w:t>Sept. 2026</w:t>
            </w:r>
          </w:p>
        </w:tc>
        <w:tc>
          <w:tcPr>
            <w:tcW w:type="dxa" w:w="4536"/>
          </w:tcPr>
          <w:p>
            <w:r>
              <w:rPr>
                <w:rFonts w:ascii="Times New Roman" w:hAnsi="Times New Roman"/>
                <w:sz w:val="20"/>
              </w:rPr>
              <w:t>Zwischenmündliche Verhandlung (Interim conference, Art. 104 UPC Rules)</w:t>
            </w:r>
          </w:p>
        </w:tc>
      </w:tr>
      <w:tr>
        <w:tc>
          <w:tcPr>
            <w:tcW w:type="dxa" w:w="4536"/>
          </w:tcPr>
          <w:p>
            <w:r>
              <w:rPr>
                <w:rFonts w:ascii="Times New Roman" w:hAnsi="Times New Roman"/>
                <w:sz w:val="20"/>
              </w:rPr>
              <w:t>Jan. 2027</w:t>
            </w:r>
          </w:p>
        </w:tc>
        <w:tc>
          <w:tcPr>
            <w:tcW w:type="dxa" w:w="4536"/>
          </w:tcPr>
          <w:p>
            <w:r>
              <w:rPr>
                <w:rFonts w:ascii="Times New Roman" w:hAnsi="Times New Roman"/>
                <w:sz w:val="20"/>
              </w:rPr>
              <w:t>Mündliche Hauptverhandlung (vorläufig)</w:t>
            </w:r>
          </w:p>
        </w:tc>
      </w:tr>
    </w:tbl>
    <w:p>
      <w:pPr>
        <w:pStyle w:val="Heading3"/>
      </w:pPr>
      <w:r>
        <w:rPr>
          <w:rFonts w:ascii="Times New Roman" w:hAnsi="Times New Roman"/>
        </w:rPr>
        <w:t>4.3 Einstweilige Verfügung</w:t>
      </w:r>
    </w:p>
    <w:p>
      <w:pPr>
        <w:jc w:val="left"/>
      </w:pPr>
      <w:r>
        <w:t>Parallel zur Hauptsacheklage bereitet die Kanzlei einen Antrag auf einstweilige Verfügung gem. Art. 62 UPCA vor (vgl. Aktenstück 11). Der Antrag wird auf die Dringlichkeit gestützt: seit Q4 2024 drängt TitanFlex Pro in den deutschen Markt und verdrängt die Mandantin bei Krankenhausausschreibungen. Drei Großkliniken (Charite Berlin, Universitätsklinikum Heidelberg, Krankenhaus der Barmherzigen Brüder Regensburg) haben laut interner Kommunikation der Beklagten Angebote zu deutlich reduzierten Preisen erhalten (ca. 1.950 EUR/Einheit statt 2.800 EUR Marktpreis).</w:t>
      </w:r>
    </w:p>
    <w:p/>
    <w:p>
      <w:pPr>
        <w:pStyle w:val="Heading2"/>
      </w:pPr>
      <w:r>
        <w:rPr>
          <w:rFonts w:ascii="Times New Roman" w:hAnsi="Times New Roman"/>
        </w:rPr>
        <w:t>5. Prozessrisiken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Risiko</w:t>
            </w:r>
          </w:p>
        </w:tc>
        <w:tc>
          <w:tcPr>
            <w:tcW w:type="dxa" w:w="3024"/>
          </w:tcPr>
          <w:p>
            <w:r>
              <w:rPr>
                <w:rFonts w:ascii="Times New Roman" w:hAnsi="Times New Roman"/>
                <w:b/>
                <w:sz w:val="20"/>
              </w:rPr>
              <w:t>Einschätzung</w:t>
            </w:r>
          </w:p>
        </w:tc>
        <w:tc>
          <w:tcPr>
            <w:tcW w:type="dxa" w:w="3024"/>
          </w:tcPr>
          <w:p>
            <w:r>
              <w:rPr>
                <w:rFonts w:ascii="Times New Roman" w:hAnsi="Times New Roman"/>
                <w:b/>
                <w:sz w:val="20"/>
              </w:rPr>
              <w:t>Gegenstrategie</w:t>
            </w:r>
          </w:p>
        </w:tc>
      </w:tr>
      <w:tr>
        <w:tc>
          <w:tcPr>
            <w:tcW w:type="dxa" w:w="3024"/>
          </w:tcPr>
          <w:p>
            <w:r>
              <w:rPr>
                <w:rFonts w:ascii="Times New Roman" w:hAnsi="Times New Roman"/>
                <w:sz w:val="20"/>
              </w:rPr>
              <w:t>Nichtigkeitseinwand der Beklagten im UPC-Verfahren</w:t>
            </w:r>
          </w:p>
        </w:tc>
        <w:tc>
          <w:tcPr>
            <w:tcW w:type="dxa" w:w="3024"/>
          </w:tcPr>
          <w:p>
            <w:r>
              <w:rPr>
                <w:rFonts w:ascii="Times New Roman" w:hAnsi="Times New Roman"/>
                <w:sz w:val="20"/>
              </w:rPr>
              <w:t>Mittel; Beklagte haben Nichtigkeitsklage BPatG erhoben</w:t>
            </w:r>
          </w:p>
        </w:tc>
        <w:tc>
          <w:tcPr>
            <w:tcW w:type="dxa" w:w="3024"/>
          </w:tcPr>
          <w:p>
            <w:r>
              <w:rPr>
                <w:rFonts w:ascii="Times New Roman" w:hAnsi="Times New Roman"/>
                <w:sz w:val="20"/>
              </w:rPr>
              <w:t>Verteidigung Patentgültigkeit; Gruhl &amp; Teichmann beauftragt</w:t>
            </w:r>
          </w:p>
        </w:tc>
      </w:tr>
      <w:tr>
        <w:tc>
          <w:tcPr>
            <w:tcW w:type="dxa" w:w="3024"/>
          </w:tcPr>
          <w:p>
            <w:r>
              <w:rPr>
                <w:rFonts w:ascii="Times New Roman" w:hAnsi="Times New Roman"/>
                <w:sz w:val="20"/>
              </w:rPr>
              <w:t>Unterbrechung UPC gem. Art. 33 Abs. 10 UPCA (Nichtigkeitsverfahren)</w:t>
            </w:r>
          </w:p>
        </w:tc>
        <w:tc>
          <w:tcPr>
            <w:tcW w:type="dxa" w:w="3024"/>
          </w:tcPr>
          <w:p>
            <w:r>
              <w:rPr>
                <w:rFonts w:ascii="Times New Roman" w:hAnsi="Times New Roman"/>
                <w:sz w:val="20"/>
              </w:rPr>
              <w:t>Niedrig; UPC kann eigene Nichtigkeitsprüfung durchführen oder suspendieren</w:t>
            </w:r>
          </w:p>
        </w:tc>
        <w:tc>
          <w:tcPr>
            <w:tcW w:type="dxa" w:w="3024"/>
          </w:tcPr>
          <w:p>
            <w:r>
              <w:rPr>
                <w:rFonts w:ascii="Times New Roman" w:hAnsi="Times New Roman"/>
                <w:sz w:val="20"/>
              </w:rPr>
              <w:t>Antrag auf Weiterverfolgung trotz BPatG-Klage</w:t>
            </w:r>
          </w:p>
        </w:tc>
      </w:tr>
      <w:tr>
        <w:tc>
          <w:tcPr>
            <w:tcW w:type="dxa" w:w="3024"/>
          </w:tcPr>
          <w:p>
            <w:r>
              <w:rPr>
                <w:rFonts w:ascii="Times New Roman" w:hAnsi="Times New Roman"/>
                <w:sz w:val="20"/>
              </w:rPr>
              <w:t>Fehlende Durchsetzbarkeit gegen polnische Beklagte</w:t>
            </w:r>
          </w:p>
        </w:tc>
        <w:tc>
          <w:tcPr>
            <w:tcW w:type="dxa" w:w="3024"/>
          </w:tcPr>
          <w:p>
            <w:r>
              <w:rPr>
                <w:rFonts w:ascii="Times New Roman" w:hAnsi="Times New Roman"/>
                <w:sz w:val="20"/>
              </w:rPr>
              <w:t>Mittel; Vollstreckung in Polen nach EuGVVO</w:t>
            </w:r>
          </w:p>
        </w:tc>
        <w:tc>
          <w:tcPr>
            <w:tcW w:type="dxa" w:w="3024"/>
          </w:tcPr>
          <w:p>
            <w:r>
              <w:rPr>
                <w:rFonts w:ascii="Times New Roman" w:hAnsi="Times New Roman"/>
                <w:sz w:val="20"/>
              </w:rPr>
              <w:t>EuGVVO (EU) 1215/2012 Vollstreckungsantrag vorzubereiten</w:t>
            </w:r>
          </w:p>
        </w:tc>
      </w:tr>
      <w:tr>
        <w:tc>
          <w:tcPr>
            <w:tcW w:type="dxa" w:w="3024"/>
          </w:tcPr>
          <w:p>
            <w:r>
              <w:rPr>
                <w:rFonts w:ascii="Times New Roman" w:hAnsi="Times New Roman"/>
                <w:sz w:val="20"/>
              </w:rPr>
              <w:t>Widerruf Patent durch BPatG</w:t>
            </w:r>
          </w:p>
        </w:tc>
        <w:tc>
          <w:tcPr>
            <w:tcW w:type="dxa" w:w="3024"/>
          </w:tcPr>
          <w:p>
            <w:r>
              <w:rPr>
                <w:rFonts w:ascii="Times New Roman" w:hAnsi="Times New Roman"/>
                <w:sz w:val="20"/>
              </w:rPr>
              <w:t>Niedrig bis mittel (starkes Patent, geringer Nichtigkeitsgehalt)</w:t>
            </w:r>
          </w:p>
        </w:tc>
        <w:tc>
          <w:tcPr>
            <w:tcW w:type="dxa" w:w="3024"/>
          </w:tcPr>
          <w:p>
            <w:r>
              <w:rPr>
                <w:rFonts w:ascii="Times New Roman" w:hAnsi="Times New Roman"/>
                <w:sz w:val="20"/>
              </w:rPr>
              <w:t>Gruhl &amp; Teichmann verteidigt aktiv</w:t>
            </w:r>
          </w:p>
        </w:tc>
      </w:tr>
    </w:tbl>
    <w:p/>
    <w:p>
      <w:pPr>
        <w:jc w:val="left"/>
      </w:pPr>
      <w:r>
        <w:rPr>
          <w:i/>
        </w:rPr>
        <w:t>Quellen: Art. 33 UPCA (EUR-Lex); Art. 62 UPCA (EUR-Lex); § 139 PatG (dejure.org); § 140a PatG (dejure.org); § 140b PatG (dejure.org); Regel 14.2 UPC Rules of Procedure (EUR-Lex).</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 Unified Patent Court (UPC)</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 Unified Patent Court (UPC)</w:t>
    </w:r>
  </w:p>
  <w:p>
    <w:pPr>
      <w:jc w:val="left"/>
      <w:pBdr>
        <w:bottom w:val="single" w:sz="6" w:space="2" w:color="3B3F45"/>
      </w:pBdr>
    </w:pPr>
    <w:r>
      <w:rPr>
        <w:rFonts w:ascii="Times New Roman" w:hAnsi="Times New Roman"/>
        <w:color w:val="6B6B66"/>
        <w:sz w:val="16"/>
      </w:rPr>
      <w:t>Lokale Kammer Düsseldorf · Aktenzeichen intern: VM-2026-GR-001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