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Grenzbeschlagnahme und Zollvorbehalt nach Verordnung (EU) Nr. 608/2013</w:t>
      </w:r>
    </w:p>
    <w:p>
      <w:pPr>
        <w:jc w:val="left"/>
      </w:pPr>
      <w:r>
        <w:rPr>
          <w:b/>
        </w:rPr>
        <w:t>Aktenzeichen intern:</w:t>
      </w:r>
      <w:r>
        <w:t xml:space="preserve"> VM-2026-GR-001</w:t>
      </w:r>
    </w:p>
    <w:p>
      <w:pPr>
        <w:jc w:val="left"/>
      </w:pPr>
      <w:r>
        <w:rPr>
          <w:b/>
        </w:rPr>
        <w:t>Zollamtliches Aktenzeichen:</w:t>
      </w:r>
      <w:r>
        <w:t xml:space="preserve"> ZA-2026-FRA-0381</w:t>
      </w:r>
    </w:p>
    <w:p>
      <w:pPr>
        <w:jc w:val="left"/>
      </w:pPr>
      <w:r>
        <w:rPr>
          <w:b/>
        </w:rPr>
        <w:t>Behörde:</w:t>
      </w:r>
      <w:r>
        <w:t xml:space="preserve"> Hauptzollamt Frankfurt am Main</w:t>
      </w:r>
    </w:p>
    <w:p>
      <w:pPr>
        <w:jc w:val="left"/>
      </w:pPr>
      <w:r>
        <w:rPr>
          <w:b/>
        </w:rPr>
        <w:t>Datum der Anzeige:</w:t>
      </w:r>
      <w:r>
        <w:t xml:space="preserve"> 10. März 2026</w:t>
      </w:r>
    </w:p>
    <w:p>
      <w:pPr>
        <w:jc w:val="left"/>
      </w:pPr>
      <w:r>
        <w:rPr>
          <w:b/>
        </w:rPr>
        <w:t>Bearbeiter:</w:t>
      </w:r>
      <w:r>
        <w:t xml:space="preserve"> RA Tobias Fehrenbach / RA Dr. Birkenhainer</w:t>
      </w:r>
    </w:p>
    <w:p/>
    <w:p>
      <w:pPr>
        <w:pStyle w:val="Heading2"/>
      </w:pPr>
      <w:r>
        <w:rPr>
          <w:rFonts w:ascii="Times New Roman" w:hAnsi="Times New Roman"/>
        </w:rPr>
        <w:t>1. Rechtsgrundlage und Anwendungsbereich</w:t>
      </w:r>
    </w:p>
    <w:p>
      <w:pPr>
        <w:jc w:val="left"/>
      </w:pPr>
      <w:r>
        <w:t>Die Verordnung (EU) Nr. 608/2013 des Europäischen Parlaments und des Rates vom 12. Juni 2013 zur Durchsetzung der Rechte geistigen Eigentums durch die Zollbehörden (ABl. L 181 vom 29.06.2013, S. 15) bildet die Grundlage für die Stellung des Grenzbeschlagnahmeantrags (EUR-Lex). Die Verordnung ermöglicht es Rechtsinhabern, bei Verdacht auf Verletzung von Rechten des geistigen Eigentums (Patente, Marken, Urheberrechte, Designs) bei den zuständigen Zollbehörden die Zurückhaltung von Waren zu beantragen.</w:t>
      </w:r>
    </w:p>
    <w:p>
      <w:pPr>
        <w:jc w:val="left"/>
      </w:pPr>
      <w:r>
        <w:t>Gem. Art. 3 Abs. 1 VO 608/2013 schützt die Verordnung unter anderem Patente (lit. a), Marken (lit. b) und eingetragene Designs (lit. g). Alle drei Rechte der Mandantin fallen in den Anwendungsbereich.</w:t>
      </w:r>
    </w:p>
    <w:p>
      <w:pPr>
        <w:jc w:val="left"/>
      </w:pPr>
      <w:r>
        <w:t>Gem. Art. 5 VO 608/2013 kann der Rechtsinhaber bei der zuständigen Zollbehörde einen "Antrag auf Tätigwerden" stellen. In Deutschland sind die Hauptzollämter für die Entgegennahme zuständig. Das Hauptzollamt Frankfurt am Main ist für Luftfrachtimporte über den Flughafen Frankfurt (dem bedeutendsten deutschen Frachtflughafen) und für Seefrachttransit zuständig.</w:t>
      </w:r>
    </w:p>
    <w:p/>
    <w:p>
      <w:pPr>
        <w:pStyle w:val="Heading2"/>
      </w:pPr>
      <w:r>
        <w:rPr>
          <w:rFonts w:ascii="Times New Roman" w:hAnsi="Times New Roman"/>
        </w:rPr>
        <w:t>2. Sachverhalt: Drittlandsimporte aus China</w:t>
      </w:r>
    </w:p>
    <w:p>
      <w:pPr>
        <w:jc w:val="left"/>
      </w:pPr>
      <w:r>
        <w:t>Aus Recherchen der Mandantin und Hinweisen eines Brancheninformationsdienstes ergibt sich, dass Bochstaedt MedSupply OHG neben dem direkten Import von TitanOrtho (Polen → Deutschland) auch Direktimporte von Hüftimplantaten aus China (Hersteller: Zhejiang MedTech Co., Ltd., Hangzhou) in geringen Stückzahlen veranlasst. Diese chinesischen Implantate ähneln dem TitanFlex Pro und könnten entweder:</w:t>
      </w:r>
    </w:p>
    <w:p>
      <w:pPr>
        <w:jc w:val="left"/>
      </w:pPr>
      <w:r>
        <w:t>(a) von Zhejiang MedTech nach Vorgaben oder Lizenzen von TitanOrtho hergestellt worden sein, oder</w:t>
      </w:r>
    </w:p>
    <w:p>
      <w:pPr>
        <w:jc w:val="left"/>
      </w:pPr>
      <w:r>
        <w:t>(b) eigenständige Nachbauten des EP 3 218 922 B1 darstellen.</w:t>
      </w:r>
    </w:p>
    <w:p>
      <w:pPr>
        <w:jc w:val="left"/>
      </w:pPr>
      <w:r>
        <w:t>Indikatoren:</w:t>
      </w:r>
    </w:p>
    <w:p>
      <w:pPr>
        <w:pStyle w:val="ListBullet"/>
      </w:pPr>
      <w:r>
        <w:t>Kanzleidatenbank-Recherche: Zhejiang MedTech Co., Ltd. hat keine EP-Patente auf vergleichbare Schaftgeometrien.</w:t>
      </w:r>
    </w:p>
    <w:p>
      <w:pPr>
        <w:pStyle w:val="ListBullet"/>
      </w:pPr>
      <w:r>
        <w:t>Zollinhaltserklärungen (CN22/CN23) für zwei Sendungen Frankfurt Cargo Februar 2026 (Informationsquelle: Branchenhinweis, Anlage A-16): Beschreibung "titanium hip implant prosthesis, 12 pieces, HS-Code 9021.11.00".</w:t>
      </w:r>
    </w:p>
    <w:p>
      <w:pPr>
        <w:pStyle w:val="ListBullet"/>
      </w:pPr>
      <w:r>
        <w:t>Preisanalyse: Einfuhrpreis lt. Anhaltspunkten ca. 480 EUR/Einheit (gegenüber 2.800 EUR Marktpreis Vellbruck) — deutlich unter marktüblichen Herstellkosten, was für Dumping oder erhebliche Qualitätsunterschiede spricht.</w:t>
      </w:r>
    </w:p>
    <w:p/>
    <w:p>
      <w:pPr>
        <w:pStyle w:val="Heading2"/>
      </w:pPr>
      <w:r>
        <w:rPr>
          <w:rFonts w:ascii="Times New Roman" w:hAnsi="Times New Roman"/>
        </w:rPr>
        <w:t>3. Der Antrag auf Tätigwerden (Art. 5 ff. VO 608/2013)</w:t>
      </w:r>
    </w:p>
    <w:p>
      <w:pPr>
        <w:pStyle w:val="Heading3"/>
      </w:pPr>
      <w:r>
        <w:rPr>
          <w:rFonts w:ascii="Times New Roman" w:hAnsi="Times New Roman"/>
        </w:rPr>
        <w:t>3.1 Inhalt des Antrags</w:t>
      </w:r>
    </w:p>
    <w:p>
      <w:pPr>
        <w:jc w:val="left"/>
      </w:pPr>
      <w:r>
        <w:t>Der Antrag vom 10. März 2026 (Anlage A-17, versandt an Hauptzollamt Frankfurt am Main) enthält gem. Art. 6 VO 608/2013:</w:t>
      </w:r>
    </w:p>
    <w:p>
      <w:pPr>
        <w:pStyle w:val="ListNumber"/>
      </w:pPr>
      <w:r>
        <w:rPr>
          <w:b/>
        </w:rPr>
        <w:t>Angaben zum Rechtsinhaber:</w:t>
      </w:r>
      <w:r>
        <w:t xml:space="preserve"> Vellbruck Medizintechnik GmbH</w:t>
      </w:r>
    </w:p>
    <w:p>
      <w:pPr>
        <w:pStyle w:val="ListNumber"/>
      </w:pPr>
      <w:r>
        <w:rPr>
          <w:b/>
        </w:rPr>
        <w:t>Schutzrechte:</w:t>
      </w:r>
      <w:r>
        <w:t xml:space="preserve"> EP 3 218 922 B1 (Patent), UM 018-882-188 TITANFLEX (Marke), DE 88-2026 (Design, ausstehend)</w:t>
      </w:r>
    </w:p>
    <w:p>
      <w:pPr>
        <w:pStyle w:val="ListNumber"/>
      </w:pPr>
      <w:r>
        <w:rPr>
          <w:b/>
        </w:rPr>
        <w:t>Beschreibung der Verletzerwaren:</w:t>
      </w:r>
      <w:r>
        <w:t xml:space="preserve"> Hüftimplantat-Schäfte aus Titanlegierung, poröse Oberfläche proximal, HS-Code 9021.11.00, Herkunft China (Zhejiang MedTech) und/oder Polen (TitanOrtho)</w:t>
      </w:r>
    </w:p>
    <w:p>
      <w:pPr>
        <w:pStyle w:val="ListNumber"/>
      </w:pPr>
      <w:r>
        <w:rPr>
          <w:b/>
        </w:rPr>
        <w:t>Erkennungsmerkmale:</w:t>
      </w:r>
      <w:r>
        <w:t xml:space="preserve"> Keine CE-Kennzeichnung mit zugelassenem Benannten Stellen-Kürzel für Deutschland; fehlende UDI-Kennzeichnung nach MDR 2017/745; Maßangaben abweichend von zugelassenen Vellbruck-Produkten</w:t>
      </w:r>
    </w:p>
    <w:p>
      <w:pPr>
        <w:pStyle w:val="ListNumber"/>
      </w:pPr>
      <w:r>
        <w:rPr>
          <w:b/>
        </w:rPr>
        <w:t>Kontaktdaten:</w:t>
      </w:r>
      <w:r>
        <w:t xml:space="preserve"> RA Fehrenbach, Kanzlei Birkenhainer &amp; Consulting</w:t>
      </w:r>
    </w:p>
    <w:p>
      <w:pPr>
        <w:pStyle w:val="ListNumber"/>
      </w:pPr>
      <w:r>
        <w:rPr>
          <w:b/>
        </w:rPr>
        <w:t>Sicherheitsleistung:</w:t>
      </w:r>
      <w:r>
        <w:t xml:space="preserve"> Bereitstellung einer Bürgschaft in Höhe von 50.000 EUR (Anlage A-18, Bürgschaftsurkunde Allianz SE)</w:t>
      </w:r>
    </w:p>
    <w:p>
      <w:pPr>
        <w:pStyle w:val="Heading3"/>
      </w:pPr>
      <w:r>
        <w:rPr>
          <w:rFonts w:ascii="Times New Roman" w:hAnsi="Times New Roman"/>
        </w:rPr>
        <w:t>3.2 Verfahren nach Art. 17–21 VO 608/2013</w:t>
      </w:r>
    </w:p>
    <w:p>
      <w:pPr>
        <w:jc w:val="left"/>
      </w:pPr>
      <w:r>
        <w:t>Nach Bewilligung des Antrags durch das Hauptzollamt (Bescheid erwartet April 2026) gilt Folgendes:</w:t>
      </w:r>
    </w:p>
    <w:p>
      <w:pPr>
        <w:pStyle w:val="ListBullet"/>
      </w:pPr>
      <w:r>
        <w:rPr>
          <w:b/>
        </w:rPr>
        <w:t>Aufgriff:</w:t>
      </w:r>
      <w:r>
        <w:t xml:space="preserve"> Die Zollbehörde hält Sendungen zurück, die unter die Beschreibung fallen, und benachrichtigt den Rechtsinhaber (RA Fehrenbach) sowie den Anmelder der Waren.</w:t>
      </w:r>
    </w:p>
    <w:p>
      <w:pPr>
        <w:pStyle w:val="ListBullet"/>
      </w:pPr>
      <w:r>
        <w:rPr>
          <w:b/>
        </w:rPr>
        <w:t>Frist:</w:t>
      </w:r>
      <w:r>
        <w:t xml:space="preserve"> Gem. Art. 17 Abs. 3 VO 608/2013 hat der Rechtsinhaber nach Benachrichtigung </w:t>
      </w:r>
      <w:r>
        <w:rPr>
          <w:b/>
        </w:rPr>
        <w:t>10 Arbeitstage</w:t>
      </w:r>
      <w:r>
        <w:t xml:space="preserve"> (verlängerbar auf 20 Arbeitstage), um eine gerichtliche Maßnahme einzuleiten (Unterlassungsantrag beim LG Frankfurt), andernfalls werden die Waren freigegeben.</w:t>
      </w:r>
    </w:p>
    <w:p>
      <w:pPr>
        <w:pStyle w:val="ListBullet"/>
      </w:pPr>
      <w:r>
        <w:rPr>
          <w:b/>
        </w:rPr>
        <w:t>Muster/Proben:</w:t>
      </w:r>
      <w:r>
        <w:t xml:space="preserve"> Art. 19 VO 608/2013 gewährt dem Rechtsinhaber das Recht, Muster der zurückgehaltenen Waren zum Zwecke der Verletzungsanalyse zu entnehmen.</w:t>
      </w:r>
    </w:p>
    <w:p>
      <w:pPr>
        <w:pStyle w:val="Heading3"/>
      </w:pPr>
      <w:r>
        <w:rPr>
          <w:rFonts w:ascii="Times New Roman" w:hAnsi="Times New Roman"/>
        </w:rPr>
        <w:t>3.3 Erste Grenzbeschlagnahme — Anzeige Zoll Frankfurt</w:t>
      </w:r>
    </w:p>
    <w:p>
      <w:pPr>
        <w:jc w:val="left"/>
      </w:pPr>
      <w:r>
        <w:t>Das Hauptzollamt Frankfurt meldete mit E-Mail vom 10. März 2026 (EML-03), dass eine Sendung mit 14 Hüftimplantat-Schäften (Absender: Zhejiang MedTech Co., Ltd., Hangzhou; Empfänger: Bochstaedt MedSupply OHG, Aalen; Frachtbrief-Nr. 157-2886-2026) am Flughafen Frankfurt zurückgehalten wurde. Die Anzeige erfolgte auf Grundlage des Anfangsverdachts, da die Sendung vor Bewilligung des formellen Antrags aufgegriffen wurde — ein Fall der amtswegigen Zurückhaltung gem. Art. 18 VO 608/2013.</w:t>
      </w:r>
    </w:p>
    <w:p>
      <w:pPr>
        <w:jc w:val="left"/>
      </w:pPr>
      <w:r>
        <w:t>Die Mandantin wurde aufgefordert, bis zum 25. März 2026 eine Erklärung abzugeben, ob sie die gerichtliche Maßnahme einleiten will. RA Fehrenbach hat dies mit Schreiben vom 15. März 2026 bestätigt.</w:t>
      </w:r>
    </w:p>
    <w:p/>
    <w:p>
      <w:pPr>
        <w:pStyle w:val="Heading2"/>
      </w:pPr>
      <w:r>
        <w:rPr>
          <w:rFonts w:ascii="Times New Roman" w:hAnsi="Times New Roman"/>
        </w:rPr>
        <w:t>4. Medizinprodukterrechtliche Paralleldimension</w:t>
      </w:r>
    </w:p>
    <w:p>
      <w:pPr>
        <w:jc w:val="left"/>
      </w:pPr>
      <w:r>
        <w:t>Da die zurückgehaltenen Implantate als Medizinprodukte der Klasse IIb (Regel 8, Anhang VIII MDR 2017/745) zu klassifizieren sind, unterliegen sie der Verordnung (EU) 2017/745 über Medizinprodukte (EUR-Lex). Importe ohne gültige CE-Zertifizierung durch eine Benannte Stelle (Notified Body) für den deutschen/EU-Markt sind gem. Art. 5 MDR grundsätzlich unzulässig.</w:t>
      </w:r>
    </w:p>
    <w:p>
      <w:pPr>
        <w:jc w:val="left"/>
      </w:pPr>
      <w:r>
        <w:t>Die Mandantin hat dem Hauptzollamt entsprechende Nachweise über die fehlende MDR-Konformität der aufgegriffenen Sendung übermittelt (Anlage A-19). Das Bundesinstitut für Arzneimittel und Medizinprodukte (BfArM) wurde informiert.</w:t>
      </w:r>
    </w:p>
    <w:p/>
    <w:p>
      <w:pPr>
        <w:pStyle w:val="Heading2"/>
      </w:pPr>
      <w:r>
        <w:rPr>
          <w:rFonts w:ascii="Times New Roman" w:hAnsi="Times New Roman"/>
        </w:rPr>
        <w:t>5. Zollrechtliche Kosten und Haftungsrisiken</w:t>
      </w:r>
    </w:p>
    <w:p>
      <w:pPr>
        <w:jc w:val="left"/>
      </w:pPr>
      <w:r>
        <w:t>Der Rechtsinhaber haftet gem. Art. 28 VO 608/2013 gegenüber dem Inhaber der Waren für Schäden, die durch ungerechtfertigte Zurückhaltung entstehen. Die Bürgschaft (50.000 EUR) deckt dieses Risiko ab. Im vorliegenden Fall ist das Haftungsrisiko gering, da die Verletzung durch EP 3 218 922 B1 mit hoher Wahrscheinlichkeit belegt ist.</w:t>
      </w:r>
    </w:p>
    <w:p/>
    <w:p>
      <w:pPr>
        <w:jc w:val="left"/>
      </w:pPr>
      <w:r>
        <w:rPr>
          <w:i/>
        </w:rPr>
        <w:t>Quellen: Verordnung (EU) Nr. 608/2013 (EUR-Lex); Art. 5, 6, 17, 18, 19, 28 VO 608/2013 (EUR-Lex); Verordnung (EU) 2017/745 über Medizinprodukte (EUR-Lex).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Hauptzollamt Frankfurt am Main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Hauptzollamt Frankfurt am Main</w:t>
    </w:r>
  </w:p>
  <w:p>
    <w:pPr>
      <w:jc w:val="left"/>
      <w:pBdr>
        <w:bottom w:val="single" w:sz="6" w:space="2" w:color="3B3F45"/>
      </w:pBdr>
    </w:pPr>
    <w:r>
      <w:rPr>
        <w:rFonts w:ascii="Times New Roman" w:hAnsi="Times New Roman"/>
        <w:color w:val="6B6B66"/>
        <w:sz w:val="16"/>
      </w:rPr>
      <w:t>Behörde · Aktenzeichen intern: VM-2026-GR-001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