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KLAGESCHRIFT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 den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Unified Patent Court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Lokale Kammer Düsseldorf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c/o Landgericht Düsseldorf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Werdener Straße 1, 40227 Düsseldorf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Aktenzeichen: ACT_0188/2026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Klägerin: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Vellbruck Medizintechnik GmbH, Leobener Straße 14, 70569 Stuttgart-Vaihingen, vertreten durch die Geschäftsführer Dr. Philipp Sonnleitner und Dr. Astrid Kempken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— Prozessbevollmächtigte: RA Dr. Marie-Henriette Birkenhainer (UPC-Zulassung), Kanzlei Birkenhainer &amp; Consulting, Theatinerstraße 36, 80333 München; koord. RA Dr. Gerd Rademakers (Rademakers IP, Königsallee 14, 40212 Düsseldorf) —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Beklagte zu 1: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TitanOrtho Sp. z o.o., ul. Robotnicza 44, 53-608 Wroclaw, Polen, vertreten durch den Geschäftsführer Marcin Pawlowski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Beklagte zu 2: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Bochstaedt MedSupply OHG, Goldschmiedstraße 17, 73430 Aalen, vertreten durch die Gesellschafter Gerhard Bochstaedt und Rainer Bochstaedt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I. KLAGEANTRÄGE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1. Den Beklagten wird es — unter Androhung eines Ordnungsgeldes von bis zu 250.000 EUR je Zuwiderhandlung, ersatzweise Ordnungshaft bis zu 6 Monaten — verboten, Schaftimplantate für Hüftendoprothesen, die alle Merkmale (a) bis (e) des Anspruchs 1 des EP 3 218 922 B1 aufweisen, insbesondere das Produkt "TitanFlex Pro" (CE-Zertifikat Nr. DE/CA08/0044/2024), in Mitgliedstaaten des UPCA herzustellen (Beklagte zu 1), anzubieten, in Verkehr zu bringen, zu gebrauchen oder zu den genannten Zwecken einzuführen oder zu besitzen (Beklagte zu 1 und 2).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2. Die Beklagten werden verurteilt, der Klägerin Auskunft zu erteilen und Rechnung zu legen über alle Verletzungshandlungen gemäß § 140b PatG, insbesondere Herstellungsmengen, Lieferanten, Abnehmer, Einstandspreise, Verkaufspreise und Gewinne hinsichtlich des Produkts "TitanFlex Pro" seit dem 18. Oktober 2024.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3. Die Beklagte zu 2 wird verurteilt, alle in ihrem Besitz oder Eigentum befindlichen Exemplare des Produkts "TitanFlex Pro" zu vernichten (§ 140a Abs. 1 PatG).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4. Die Beklagte zu 2 wird verurteilt, die an Dritte (Kliniken, Händler) bereits ausgelieferten, aber noch nicht implantierten Exemplare des Produkts "TitanFlex Pro" zurückzurufen (§ 140a Abs. 3 PatG).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5. Die Beklagten werden gesamtschuldnerisch verurteilt, der Klägerin den durch die Verletzungshandlungen entstandenen und noch entstehenden Schaden zu ersetzen; die Schadensberechnung bleibt einem nachfolgenden Betragsverfahren vorbehalten.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6. Die Kosten des Verfahrens tragen die Beklagten.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II. SACHVERHALT</w:t>
      </w:r>
    </w:p>
    <w:p>
      <w:pPr>
        <w:pStyle w:val="Heading3"/>
        <w:spacing w:after="120" w:before="240"/>
      </w:pPr>
      <w:r>
        <w:t xml:space="preserve">A. Patentrecht und Verletzungsgegenstand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Die Klägerin ist Inhaberin des europäischen Patents EP 3 218 922 B1 ("Schaftimplantat für eine Hüftendoprothese"), erteilt am 22. März 2018, in Kraft in elf europäischen Staaten, darunter Deutschland, Polen, Frankreich und weiteren UPCA-Mitgliedstaaten. Das Patent betrifft einen neuartigen Hüftschaft aus Titanlegierung mit einer porösen proximalen Oberfläche (Porosität 65–75 %; mittlere Porengröße 400–600 µm), hergestellt durch selektives Lasersintern, sowie mindestens zwei distalen Stützrippen mit einem Neigungswinkel von 8°–15° zur Längsachse des Schaftkörpers.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Die Beklagte zu 1 stellt seit Herbst 2024 das Produkt "TitanFlex Pro" her und liefert es an die Beklagte zu 2 (Bochstaedt MedSupply OHG) zur Einführung in den deutschen und weiteren europäischen Märkten. Der erste dokumentierte Vertriebsakt in Deutschland datiert vom 18. Oktober 2024.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Auf der Grundlage einer technischen Analyse (Claim-Chart, Anlage K-3; µ-CT-Messung Institut für Materialprüfung Dortmund, Anlage K-4; Sachverständigengutachten Dr. Peter Morbach, Anlage K-5) steht fest, dass TitanFlex Pro alle fünf Merkmale des Anspruchs 1 des EP 3 218 922 B1 dem Wortlaut nach verwirklicht: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4D1CA"/>
          </w:tcPr>
          <w:p>
            <w:r>
              <w:rPr>
                <w:b/>
                <w:bCs/>
                <w:sz w:val="20"/>
                <w:szCs w:val="20"/>
              </w:rPr>
              <w:t xml:space="preserve">Merkmal</w:t>
            </w:r>
          </w:p>
        </w:tc>
        <w:tc>
          <w:tcPr>
            <w:shd w:fill="D4D1CA"/>
          </w:tcPr>
          <w:p>
            <w:r>
              <w:rPr>
                <w:b/>
                <w:bCs/>
                <w:sz w:val="20"/>
                <w:szCs w:val="20"/>
              </w:rPr>
              <w:t xml:space="preserve">EP 3 218 922 B1</w:t>
            </w:r>
          </w:p>
        </w:tc>
        <w:tc>
          <w:tcPr>
            <w:shd w:fill="D4D1CA"/>
          </w:tcPr>
          <w:p>
            <w:r>
              <w:rPr>
                <w:b/>
                <w:bCs/>
                <w:sz w:val="20"/>
                <w:szCs w:val="20"/>
              </w:rPr>
              <w:t xml:space="preserve">TitanFlex Pro (gemessen)</w:t>
            </w:r>
          </w:p>
        </w:tc>
        <w:tc>
          <w:tcPr>
            <w:shd w:fill="D4D1CA"/>
          </w:tcPr>
          <w:p>
            <w:r>
              <w:rPr>
                <w:b/>
                <w:bCs/>
                <w:sz w:val="20"/>
                <w:szCs w:val="20"/>
              </w:rPr>
              <w:t xml:space="preserve">Verletzung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(a)</w:t>
            </w:r>
          </w:p>
        </w:tc>
        <w:tc>
          <w:p>
            <w:r>
              <w:rPr>
                <w:sz w:val="20"/>
                <w:szCs w:val="20"/>
              </w:rPr>
              <w:t xml:space="preserve">Titanlegierung, prox./distal</w:t>
            </w:r>
          </w:p>
        </w:tc>
        <w:tc>
          <w:p>
            <w:r>
              <w:rPr>
                <w:sz w:val="20"/>
                <w:szCs w:val="20"/>
              </w:rPr>
              <w:t xml:space="preserve">Ti-6Al-4V ELI, Schaftlänge 120/145 mm</w:t>
            </w:r>
          </w:p>
        </w:tc>
        <w:tc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(b)</w:t>
            </w:r>
          </w:p>
        </w:tc>
        <w:tc>
          <w:p>
            <w:r>
              <w:rPr>
                <w:sz w:val="20"/>
                <w:szCs w:val="20"/>
              </w:rPr>
              <w:t xml:space="preserve">Porosität 65–75 %</w:t>
            </w:r>
          </w:p>
        </w:tc>
        <w:tc>
          <w:p>
            <w:r>
              <w:rPr>
                <w:sz w:val="20"/>
                <w:szCs w:val="20"/>
              </w:rPr>
              <w:t xml:space="preserve">68,4 ± 1,2 %</w:t>
            </w:r>
          </w:p>
        </w:tc>
        <w:tc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(c)</w:t>
            </w:r>
          </w:p>
        </w:tc>
        <w:tc>
          <w:p>
            <w:r>
              <w:rPr>
                <w:sz w:val="20"/>
                <w:szCs w:val="20"/>
              </w:rPr>
              <w:t xml:space="preserve">Porengröße 400–600 µm</w:t>
            </w:r>
          </w:p>
        </w:tc>
        <w:tc>
          <w:p>
            <w:r>
              <w:rPr>
                <w:sz w:val="20"/>
                <w:szCs w:val="20"/>
              </w:rPr>
              <w:t xml:space="preserve">487 ± 22 µm</w:t>
            </w:r>
          </w:p>
        </w:tc>
        <w:tc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(d)</w:t>
            </w:r>
          </w:p>
        </w:tc>
        <w:tc>
          <w:p>
            <w:r>
              <w:rPr>
                <w:sz w:val="20"/>
                <w:szCs w:val="20"/>
              </w:rPr>
              <w:t xml:space="preserve">≥ 2 Fins, 8°–15°</w:t>
            </w:r>
          </w:p>
        </w:tc>
        <w:tc>
          <w:p>
            <w:r>
              <w:rPr>
                <w:sz w:val="20"/>
                <w:szCs w:val="20"/>
              </w:rPr>
              <w:t xml:space="preserve">3 Fins, 10,5° ± 0,3°</w:t>
            </w:r>
          </w:p>
        </w:tc>
        <w:tc>
          <w:p>
            <w:r>
              <w:rPr>
                <w:sz w:val="20"/>
                <w:szCs w:val="20"/>
              </w:rPr>
              <w:t xml:space="preserve">Ja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(e)</w:t>
            </w:r>
          </w:p>
        </w:tc>
        <w:tc>
          <w:p>
            <w:r>
              <w:rPr>
                <w:sz w:val="20"/>
                <w:szCs w:val="20"/>
              </w:rPr>
              <w:t xml:space="preserve">Herstellung durch SLS</w:t>
            </w:r>
          </w:p>
        </w:tc>
        <w:tc>
          <w:p>
            <w:r>
              <w:rPr>
                <w:sz w:val="20"/>
                <w:szCs w:val="20"/>
              </w:rPr>
              <w:t xml:space="preserve">SLS (bestätigt)</w:t>
            </w:r>
          </w:p>
        </w:tc>
        <w:tc>
          <w:p>
            <w:r>
              <w:rPr>
                <w:sz w:val="20"/>
                <w:szCs w:val="20"/>
              </w:rPr>
              <w:t xml:space="preserve">Ja</w:t>
            </w:r>
          </w:p>
        </w:tc>
      </w:tr>
    </w:tbl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t xml:space="preserve">B. Zuständigkeit des UPC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Der Unified Patent Court ist gem. Art. 33 Abs. 1 lit. a UPCA für die Verletzungsklage zuständig, da die Verletzungshandlungen (Import, Angebot, Inverkehrbringen) in erheblichem Umfang in Deutschland stattfinden. Die Beklagte zu 2 (Bochstaedt MedSupply OHG) hat ihren Sitz in Aalen (Deutschland). Die Einbeziehung der Beklagten zu 1 (TitanOrtho, Polen) ist gem. Art. 33 Abs. 2 UPCA zulässig, da beide Beklagte koordiniert handeln.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Verfahrenssprache: Deutsch (Regel 14.2 UPC Rules of Procedure; Lokale Kammer Düsseldorf, Beschluss 10.01.2026).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III. RECHTLICHE WÜRDIGUNG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Die Beklagten verletzen das Patent EP 3 218 922 B1 gem. § 9 Satz 2 Nr. 1 PatG i.V.m. Art. 25 lit. a UPCA durch Herstellung (Beklagte zu 1) sowie Angebot und Inverkehrbringen (Beklagte zu 2) des Produkts TitanFlex Pro in Mitgliedstaaten des UPCA. Der Unterlassungsanspruch ergibt sich aus § 139 Abs. 1 PatG. Der Auskunftsanspruch ergibt sich aus § 140b PatG. Der Schadensersatzanspruch dem Grunde nach ergibt sich aus § 139 Abs. 2 PatG; die Beklagten handeln zumindest fahrlässig, da das Patent öffentlich zugänglich ist. Der Vernichtungs- und Rückrufanspruch ergibt sich aus § 140a Abs. 1 und 3 PatG.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IV. BEWEISMITTEL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K-1: EP 3 218 922 B1 (Erteilungsschrift, Auszug)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K-2: CE-Technische Dokumentation TitanFlex Pro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K-3: Claim Chart (Merkmalsanalyse)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K-4: µ-CT-Analysebericht, Institut für Materialprüfung Dortmund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K-5: Sachverständigengutachten Dr. Peter Morbach (TU Dortmund)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K-6: Lieferschein Bochstaedt MedSupply OHG v. 18.10.2024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K-7: Screenshots bochstaedt-medsupply.de (28.01.2026)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Anlage K-8: Vollmacht Dr. Birkenhainer (§ 80 ZPO / Art. 55 Abs. 1 UPCA)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München / Düsseldorf, 04. Februar 2026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Dr. Marie-Henriette Birkenhainer                    Dr. Gerd Rademakers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Rechtsanwältin (FA gewerblicher Rechtsschutz)        Rechtsanwalt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EPA-zugelassene Vertreterin Nr. EPA-D-12885           UPC-Zulassung CoA-2023-DE-0044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Quellen: § 139 PatG (dejure.org); § 140a PatG (dejure.org); § 140b PatG (dejure.org); Art. 25, 33, 55 UPCA (EUR-Lex: https://eur-lex.europa.eu/legal-content/DE/TXT/?uri=CELEX%3A42013A0620%2801%29); Regel 14.2 UPC Rules of Procedure (EUR-Lex).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Düsseldorf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Düsseldorf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ACT_0188/2026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Klageschrift UPC ACT_0188/2026 — Vellbruck ./. TitanOrtho / Bochstaedt</dc:title>
  <dc:creator>Kanzlei Birkenhainer &amp; Consulting</dc:creator>
  <dc:description>Klageschrift vor der UPC Lokalen Kammer Düsseldorf</dc:description>
  <cp:lastModifiedBy>Un-named</cp:lastModifiedBy>
  <cp:revision>1</cp:revision>
  <dcterms:created xsi:type="dcterms:W3CDTF">2026-05-30T19:05:22.618Z</dcterms:created>
  <dcterms:modified xsi:type="dcterms:W3CDTF">2026-05-30T19:05:22.618Z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