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Eilantrag nach § 80 V VwGO</w:t>
      </w:r>
    </w:p>
    <w:p>
      <w:pPr>
        <w:jc w:val="left"/>
      </w:pPr>
      <w:r>
        <w:rPr>
          <w:b/>
        </w:rPr>
        <w:t>An das Verwaltungsgericht Cottbus</w:t>
      </w:r>
    </w:p>
    <w:p>
      <w:pPr>
        <w:jc w:val="left"/>
      </w:pPr>
      <w:r>
        <w:t>Vom-Stein-Straße 27, 03050 Cottbus</w:t>
      </w:r>
    </w:p>
    <w:p>
      <w:pPr>
        <w:jc w:val="left"/>
      </w:pPr>
      <w:r>
        <w:rPr>
          <w:b/>
        </w:rPr>
        <w:t>per beA</w:t>
      </w:r>
    </w:p>
    <w:p>
      <w:pPr>
        <w:jc w:val="left"/>
      </w:pPr>
      <w:r>
        <w:rPr>
          <w:b/>
        </w:rPr>
        <w:t>Antragstellerin:</w:t>
      </w:r>
    </w:p>
    <w:p>
      <w:pPr>
        <w:jc w:val="left"/>
      </w:pPr>
      <w:r>
        <w:t>Initiative Lausitzer Lebensraum e.V.</w:t>
      </w:r>
    </w:p>
    <w:p>
      <w:pPr>
        <w:jc w:val="left"/>
      </w:pPr>
      <w:r>
        <w:t>vertreten durch den 1. Vorsitzenden Dr. Werner-Karl Pohlmann-Brandenburg</w:t>
      </w:r>
    </w:p>
    <w:p>
      <w:pPr>
        <w:jc w:val="left"/>
      </w:pPr>
      <w:r>
        <w:t>Cottbuser Straße 22, 03149 Forst (Lausitz)</w:t>
      </w:r>
    </w:p>
    <w:p>
      <w:pPr>
        <w:jc w:val="left"/>
      </w:pPr>
      <w:r>
        <w:t>— vertreten durch —</w:t>
      </w:r>
    </w:p>
    <w:p>
      <w:pPr>
        <w:jc w:val="left"/>
      </w:pPr>
      <w:r>
        <w:t>Pohlmann &amp; Pohlmann Rechtsanwälte PartG mbB</w:t>
      </w:r>
    </w:p>
    <w:p>
      <w:pPr>
        <w:jc w:val="left"/>
      </w:pPr>
      <w:r>
        <w:t>RAin Dr. Friederike Hesselmann-Sauerbruch (Sachbearbeiterin)</w:t>
      </w:r>
    </w:p>
    <w:p>
      <w:pPr>
        <w:jc w:val="left"/>
      </w:pPr>
      <w:r>
        <w:t>Lützowufer 17, 10785 Berlin</w:t>
      </w:r>
    </w:p>
    <w:p>
      <w:pPr>
        <w:jc w:val="left"/>
      </w:pPr>
      <w:r>
        <w:t>AZ: PoPo-2026-VR-0617</w:t>
      </w:r>
    </w:p>
    <w:p>
      <w:pPr>
        <w:jc w:val="left"/>
      </w:pPr>
      <w:r>
        <w:rPr>
          <w:b/>
        </w:rPr>
        <w:t>Antragsgegnerin:</w:t>
      </w:r>
    </w:p>
    <w:p>
      <w:pPr>
        <w:jc w:val="left"/>
      </w:pPr>
      <w:r>
        <w:t>Land Brandenburg, vertreten durch die Polizeiinspektion Spree-Neiße</w:t>
      </w:r>
    </w:p>
    <w:p>
      <w:pPr>
        <w:jc w:val="left"/>
      </w:pPr>
      <w:r>
        <w:t>Bahnhofstraße 188, 03149 Forst (Lausitz)</w:t>
      </w:r>
    </w:p>
    <w:p>
      <w:pPr>
        <w:jc w:val="left"/>
      </w:pPr>
      <w:r>
        <w:t>AZ Polizei: PolInsp SPN 2026-VS-0188</w:t>
      </w:r>
    </w:p>
    <w:p>
      <w:pPr>
        <w:jc w:val="left"/>
      </w:pPr>
      <w:r>
        <w:rPr>
          <w:b/>
        </w:rPr>
        <w:t>Datum:</w:t>
      </w:r>
      <w:r>
        <w:t xml:space="preserve"> Mittwoch, 10.06.2026, 11:00 Uhr</w:t>
      </w:r>
    </w:p>
    <w:p/>
    <w:p>
      <w:pPr>
        <w:pStyle w:val="Heading2"/>
      </w:pPr>
      <w:r>
        <w:rPr>
          <w:rFonts w:ascii="Times New Roman" w:hAnsi="Times New Roman"/>
        </w:rPr>
        <w:t>Anträge</w:t>
      </w:r>
    </w:p>
    <w:p>
      <w:pPr>
        <w:jc w:val="left"/>
      </w:pPr>
      <w:r>
        <w:t>Es wird beantragt,</w:t>
      </w:r>
    </w:p>
    <w:p>
      <w:pPr>
        <w:pStyle w:val="ListNumber"/>
      </w:pPr>
      <w:r>
        <w:t>die aufschiebende Wirkung des — gleichzeitig erhobenen — Widerspruchs der Antragstellerin gegen den Bescheid der Antragsgegnerin vom 02.06.2026 (Az PolInsp SPN 2026-VS-0188) hinsichtlich der Auflagen 1, 2, 4, 5, 6 und 8 anzuordnen;</w:t>
      </w:r>
    </w:p>
    <w:p>
      <w:pPr>
        <w:pStyle w:val="ListNumber"/>
      </w:pPr>
      <w:r>
        <w:t>hilfsweise, die Auflagen wie folgt zu modifizieren:</w:t>
      </w:r>
    </w:p>
    <w:p>
      <w:pPr>
        <w:jc w:val="left"/>
      </w:pPr>
      <w:r>
        <w:t>a) Auflage 1 (Standortverlegung): aufzuheben — Versammlung findet am Marktplatz statt.</w:t>
      </w:r>
    </w:p>
    <w:p>
      <w:pPr>
        <w:jc w:val="left"/>
      </w:pPr>
      <w:r>
        <w:t>b) Auflage 2 (Aufzugsverbot): aufzuheben — Aufzug Cottbuser Str. → Marktplatz wird erlaubt; Auflage: Ordnergestellung 1:50 und Polizeibegleitung.</w:t>
      </w:r>
    </w:p>
    <w:p>
      <w:pPr>
        <w:jc w:val="left"/>
      </w:pPr>
      <w:r>
        <w:t>c) Auflage 4 (75 dB(A)): zu ändern auf "85 dB(A) Mittelwert, 92 dB(A) Spitzenpegel ≤ 3 s".</w:t>
      </w:r>
    </w:p>
    <w:p>
      <w:pPr>
        <w:jc w:val="left"/>
      </w:pPr>
      <w:r>
        <w:t>d) Auflage 5 (Verkürzung): aufzuheben — Versammlungsdauer 12:00–18:00 Uhr.</w:t>
      </w:r>
    </w:p>
    <w:p>
      <w:pPr>
        <w:jc w:val="left"/>
      </w:pPr>
      <w:r>
        <w:t>e) Auflage 6 (Verbot Erdaushebung): aufzuheben — Performance findet ausschließlich auf Holzpaletten statt.</w:t>
      </w:r>
    </w:p>
    <w:p>
      <w:pPr>
        <w:jc w:val="left"/>
      </w:pPr>
      <w:r>
        <w:t>f) Auflage 8 (Führungszeugnisse): aufzuheben.</w:t>
      </w:r>
    </w:p>
    <w:p>
      <w:pPr>
        <w:pStyle w:val="ListNumber"/>
      </w:pPr>
      <w:r>
        <w:t>der Antragsgegnerin die Kosten des Verfahrens aufzuerlegen.</w:t>
      </w:r>
    </w:p>
    <w:p>
      <w:pPr>
        <w:pStyle w:val="Heading2"/>
      </w:pPr>
      <w:r>
        <w:rPr>
          <w:rFonts w:ascii="Times New Roman" w:hAnsi="Times New Roman"/>
        </w:rPr>
        <w:t>Begründung</w:t>
      </w:r>
    </w:p>
    <w:p>
      <w:pPr>
        <w:pStyle w:val="Heading3"/>
      </w:pPr>
      <w:r>
        <w:rPr>
          <w:rFonts w:ascii="Times New Roman" w:hAnsi="Times New Roman"/>
        </w:rPr>
        <w:t>A. Zulässigkeit</w:t>
      </w:r>
    </w:p>
    <w:p>
      <w:pPr>
        <w:jc w:val="left"/>
      </w:pPr>
      <w:r>
        <w:t>Statthafter Antrag nach § 80 V S. 1 Alt. 1 VwGO; Widerspruch ist gleichzeitig per beA erhoben (Anlage A 1). Antragstellerin ist Versammlungsleiterin und damit nach § 14 VersG Adressatin des Bescheids; Klagebefugnis aus Art. 8 I GG. Eilbedürftigkeit folgt aus der Veranstaltungsdatum 13.06.2026 (in drei Tagen).</w:t>
      </w:r>
    </w:p>
    <w:p>
      <w:pPr>
        <w:pStyle w:val="Heading3"/>
      </w:pPr>
      <w:r>
        <w:rPr>
          <w:rFonts w:ascii="Times New Roman" w:hAnsi="Times New Roman"/>
        </w:rPr>
        <w:t>B. Begründetheit</w:t>
      </w:r>
    </w:p>
    <w:p>
      <w:pPr>
        <w:pStyle w:val="Heading3"/>
      </w:pPr>
      <w:r>
        <w:rPr>
          <w:rFonts w:ascii="Times New Roman" w:hAnsi="Times New Roman"/>
        </w:rPr>
        <w:t>I. Maßstab</w:t>
      </w:r>
    </w:p>
    <w:p>
      <w:pPr>
        <w:jc w:val="left"/>
      </w:pPr>
      <w:r>
        <w:t xml:space="preserve">Die Anordnung der aufschiebenden Wirkung erfolgt bei offensichtlicher Rechtswidrigkeit des Bescheids oder bei überwiegendem Aufschubsinteresse (§ 80 V VwGO; Schoch/Schneider, § 80 Rn. 388 ff.). Hier ist die Rechtswidrigkeit jedenfalls in Bezug auf die Auflagen 1, 2, 4, 5, 6 und 8 nach summarischer Prüfung </w:t>
      </w:r>
      <w:r>
        <w:rPr>
          <w:b/>
        </w:rPr>
        <w:t>offensichtlich</w:t>
      </w:r>
      <w:r>
        <w:t>.</w:t>
      </w:r>
    </w:p>
    <w:p>
      <w:pPr>
        <w:pStyle w:val="Heading3"/>
      </w:pPr>
      <w:r>
        <w:rPr>
          <w:rFonts w:ascii="Times New Roman" w:hAnsi="Times New Roman"/>
        </w:rPr>
        <w:t>II. Verfassungsrechtlicher Rahmen (Brokdorf-Linie)</w:t>
      </w:r>
    </w:p>
    <w:p>
      <w:pPr>
        <w:jc w:val="left"/>
      </w:pPr>
      <w:r>
        <w:t xml:space="preserve">Die Versammlungsfreiheit ist nach </w:t>
      </w:r>
      <w:r>
        <w:rPr>
          <w:b/>
        </w:rPr>
        <w:t>BVerfGE 69, 315</w:t>
      </w:r>
      <w:r>
        <w:t xml:space="preserve"> (Brokdorf, Beschl. v. 14.05.1985) — bekräftigt in </w:t>
      </w:r>
      <w:r>
        <w:rPr>
          <w:b/>
        </w:rPr>
        <w:t>BVerfG 2 BvR 1090/06</w:t>
      </w:r>
      <w:r>
        <w:t xml:space="preserve"> (Heiligendamm, Beschl. v. 06.06.2007) und </w:t>
      </w:r>
      <w:r>
        <w:rPr>
          <w:b/>
        </w:rPr>
        <w:t>BVerfG 1 BvR 233/81</w:t>
      </w:r>
      <w:r>
        <w:t xml:space="preserve"> — ein elementares Funktionselement der Demokratie. Versammlungsbehörden müssen versammlungsfreundlich auslegen; nur konkrete und greifbare Gefahren rechtfertigen Eingriffe.</w:t>
      </w:r>
    </w:p>
    <w:p>
      <w:pPr>
        <w:pStyle w:val="Heading3"/>
      </w:pPr>
      <w:r>
        <w:rPr>
          <w:rFonts w:ascii="Times New Roman" w:hAnsi="Times New Roman"/>
        </w:rPr>
        <w:t>III. Einzelne Auflagen</w:t>
      </w:r>
    </w:p>
    <w:p>
      <w:pPr>
        <w:jc w:val="left"/>
      </w:pPr>
      <w:r>
        <w:rPr>
          <w:b/>
        </w:rPr>
        <w:t>1. Standortverlegung (Auflage 1)</w:t>
      </w:r>
    </w:p>
    <w:p>
      <w:pPr>
        <w:jc w:val="left"/>
      </w:pPr>
      <w:r>
        <w:t>Die Antragsgegnerin verlegt die Versammlung 4,2 km vom Marktplatz Forst auf den Festplatz Forst-Süd. Begründung: "engere Kontrolle möglich, geringeres Sachschadenspotenzial an Brunhildebrunnen". Beides ist unzureichend.</w:t>
      </w:r>
    </w:p>
    <w:p>
      <w:pPr>
        <w:jc w:val="left"/>
      </w:pPr>
      <w:r>
        <w:t xml:space="preserve">Schutzbereich Art. 8 I GG umfasst nach </w:t>
      </w:r>
      <w:r>
        <w:rPr>
          <w:b/>
        </w:rPr>
        <w:t>BVerfGE 69, 315 (343 f.)</w:t>
      </w:r>
      <w:r>
        <w:t xml:space="preserve"> auch die </w:t>
      </w:r>
      <w:r>
        <w:rPr>
          <w:b/>
        </w:rPr>
        <w:t>Wahl des Versammlungsortes</w:t>
      </w:r>
      <w:r>
        <w:t>. Die symbolische Verbindung — Brunhildebrunnen, ein Sandsteinrelief von 1888, das die Industrialisierung der Lausitz darstellt — ist konstitutiver Versammlungszweck. Eine Verlegung 4,2 km auf einen Festplatz neben dem Reifenhandel Pötzschke entkernt die Demonstrationsbotschaft vollständig.</w:t>
      </w:r>
    </w:p>
    <w:p>
      <w:pPr>
        <w:jc w:val="left"/>
      </w:pPr>
      <w:r>
        <w:t>Geeignetheit fraglich (auch auf dem Festplatz sind Sachbeschädigungen denkbar). Erforderlichkeit verneint (mildere Mittel: Absperrgitter am Brunhildebrunnen, Ordnergestellung 1:50). Angemessenheit verneint (vollständige Auslöschung des symbolischen Bezugs).</w:t>
      </w:r>
    </w:p>
    <w:p>
      <w:pPr>
        <w:jc w:val="left"/>
      </w:pPr>
      <w:r>
        <w:rPr>
          <w:b/>
        </w:rPr>
        <w:t>2. Aufzugsverbot (Auflage 2)</w:t>
      </w:r>
    </w:p>
    <w:p>
      <w:pPr>
        <w:jc w:val="left"/>
      </w:pPr>
      <w:r>
        <w:t>Aufzüge sind eine geschützte Form der Versammlung (</w:t>
      </w:r>
      <w:r>
        <w:rPr>
          <w:b/>
        </w:rPr>
        <w:t>BVerfGE 87, 399</w:t>
      </w:r>
      <w:r>
        <w:t xml:space="preserve"> — Sitzdemonstration; </w:t>
      </w:r>
      <w:r>
        <w:rPr>
          <w:b/>
        </w:rPr>
        <w:t>BVerfGE 104, 92</w:t>
      </w:r>
      <w:r>
        <w:t xml:space="preserve"> — Wackersdorf). Das pauschale Verbot eines 1,4-km-Aufzugs vom Bahnhof zum Marktplatz mit der Begründung "Verkehrsbelastung Cottbuser Straße" ignoriert, dass die Cottbuser Straße eine </w:t>
      </w:r>
      <w:r>
        <w:rPr>
          <w:b/>
        </w:rPr>
        <w:t>Anliegerstraße</w:t>
      </w:r>
      <w:r>
        <w:t xml:space="preserve"> ist und Aufzüge nach OVG Berlin-Brandenburg 1 S 47/22 grundsätzlich auf öffentliche Straßen gehören. Erforderlichkeit: milderes Mittel ist Routenführung mit Polizeibegleitung; nicht ersichtlich, warum dies nicht zumutbar sein soll.</w:t>
      </w:r>
    </w:p>
    <w:p>
      <w:pPr>
        <w:jc w:val="left"/>
      </w:pPr>
      <w:r>
        <w:rPr>
          <w:b/>
        </w:rPr>
        <w:t>3. Lautstärkebegrenzung 75 dB(A) (Auflage 4)</w:t>
      </w:r>
    </w:p>
    <w:p>
      <w:pPr>
        <w:jc w:val="left"/>
      </w:pPr>
      <w:r>
        <w:t xml:space="preserve">Wie das beigefügte Schallgutachten Burgkrieger-Naumann (Anlage A 10) ausführt, ist 75 dB(A) am Immissionsort Berliner Straße 47 bereits durch 800 Sprechchorteilnehmer </w:t>
      </w:r>
      <w:r>
        <w:rPr>
          <w:b/>
        </w:rPr>
        <w:t>ohne PA-Anlage</w:t>
      </w:r>
      <w:r>
        <w:t xml:space="preserve"> überschritten. Auflage 4 ist faktisch ein Lautsprecherverbot — unverhältnismäßiger Eingriff in die Gestaltungsfreiheit. Versammlungstypischer Maßstab: 85 dB(A) Mittelwert (OVG Münster 15 B 49/21).</w:t>
      </w:r>
    </w:p>
    <w:p>
      <w:pPr>
        <w:jc w:val="left"/>
      </w:pPr>
      <w:r>
        <w:rPr>
          <w:b/>
        </w:rPr>
        <w:t>4. Verkürzung 14:00–17:00 (Auflage 5)</w:t>
      </w:r>
    </w:p>
    <w:p>
      <w:pPr>
        <w:jc w:val="left"/>
      </w:pPr>
      <w:r>
        <w:t xml:space="preserve">Die Verkürzung der Versammlung von 6 Stunden auf 3 Stunden wird mit "Eskalationswahrscheinlichkeit" begründet. Das ist eine </w:t>
      </w:r>
      <w:r>
        <w:rPr>
          <w:b/>
        </w:rPr>
        <w:t>pauschale, nicht-versammlungsspezifische Annahme</w:t>
      </w:r>
      <w:r>
        <w:t>, die der Brokdorf-Linie widerspricht (BVerfGE 69, 315 [358 f.]: Versammlungen dürfen nicht aufgrund abstrakter Gefahrentypen beschränkt werden). Bei Anti-Kohle-Versammlungen vergleichbarer Größe (Lützerath 2023, Welzow 2022) gab es keine versammlungsspezifischen Vorkommnisse, die diese Verkürzung tragen würden.</w:t>
      </w:r>
    </w:p>
    <w:p>
      <w:pPr>
        <w:jc w:val="left"/>
      </w:pPr>
      <w:r>
        <w:rPr>
          <w:b/>
        </w:rPr>
        <w:t>5. Verbot Erdaushebung-Performance (Auflage 6)</w:t>
      </w:r>
    </w:p>
    <w:p>
      <w:pPr>
        <w:jc w:val="left"/>
      </w:pPr>
      <w:r>
        <w:t xml:space="preserve">Die Performance "Lausitz weint Kohlentränen" findet </w:t>
      </w:r>
      <w:r>
        <w:rPr>
          <w:b/>
        </w:rPr>
        <w:t>ausschließlich auf vorbereiteten Holzpaletten</w:t>
      </w:r>
      <w:r>
        <w:t xml:space="preserve"> statt; das öffentliche Pflaster wird </w:t>
      </w:r>
      <w:r>
        <w:rPr>
          <w:b/>
        </w:rPr>
        <w:t>nicht</w:t>
      </w:r>
      <w:r>
        <w:t xml:space="preserve"> berührt (siehe Performance-Konzept, Anlage A 9). Sie ist eine Kunstform mit kommemorativer Funktion (Art. 5 III GG) und untrennbar mit der Versammlung verbunden (Art. 8 I GG).</w:t>
      </w:r>
    </w:p>
    <w:p>
      <w:pPr>
        <w:jc w:val="left"/>
      </w:pPr>
      <w:r>
        <w:t xml:space="preserve">Die Begründung "könnte als Aufruf zu Sachbeschädigung an Tagebau-Infrastruktur verstanden werden" ist eine </w:t>
      </w:r>
      <w:r>
        <w:rPr>
          <w:b/>
        </w:rPr>
        <w:t>Gefahrenvermutung dritter Stufe</w:t>
      </w:r>
      <w:r>
        <w:t xml:space="preserve"> und verstößt gegen das Brokdorf-Gebot konkreter Gefahrenprognose. Nach BVerfG 1 BvR 1391/04 dürfen Versammlungsauflagen nicht auf Vermutungen über die Wirkung künstlerischer Inhalte gegründet werden.</w:t>
      </w:r>
    </w:p>
    <w:p>
      <w:pPr>
        <w:jc w:val="left"/>
      </w:pPr>
      <w:r>
        <w:rPr>
          <w:b/>
        </w:rPr>
        <w:t>6. Drei Ordner mit Führungszeugnis (Auflage 8)</w:t>
      </w:r>
    </w:p>
    <w:p>
      <w:pPr>
        <w:jc w:val="left"/>
      </w:pPr>
      <w:r>
        <w:t xml:space="preserve">Die Führungszeugnispflicht für ehrenamtliche Ordner ist eine </w:t>
      </w:r>
      <w:r>
        <w:rPr>
          <w:b/>
        </w:rPr>
        <w:t>personenbezogene Datenverarbeitung</w:t>
      </w:r>
      <w:r>
        <w:t xml:space="preserve"> im Sinne der DSGVO. Sie wurde 2024 in Versammlungsgesetzen einzelner Länder eingeführt (z.B. § 9 VersG NRW), gilt in Brandenburg aber </w:t>
      </w:r>
      <w:r>
        <w:rPr>
          <w:b/>
        </w:rPr>
        <w:t>nicht</w:t>
      </w:r>
      <w:r>
        <w:t xml:space="preserve"> (§ 18 VersG verlangt nur Vorlage einer Ordnerliste mit Namen und Adressen). Auflage 8 ist daher rechtswidrig mangels Rechtsgrundlage.</w:t>
      </w:r>
    </w:p>
    <w:p>
      <w:pPr>
        <w:pStyle w:val="Heading3"/>
      </w:pPr>
      <w:r>
        <w:rPr>
          <w:rFonts w:ascii="Times New Roman" w:hAnsi="Times New Roman"/>
        </w:rPr>
        <w:t>IV. Folgenabwägung</w:t>
      </w:r>
    </w:p>
    <w:p>
      <w:pPr>
        <w:jc w:val="left"/>
      </w:pPr>
      <w:r>
        <w:t>Auch bei offen gebliebener Hauptsache überwiegt das Aufschubsinteresse: Findet die Versammlung mit den Auflagen statt, ist sie faktisch enttötet (Standortverlegung, Lautstärkebegrenzung, Verkürzung). Eine Wiederholung ist aufgrund der politischen Aktualität der Anti-Kohle-Debatte zwar denkbar, aber im konkreten Zeitfenster (Bundestagsdebatte zum KohleAusstiegsbeschleunigungsG am 16.06.2026) nicht ersetzbar.</w:t>
      </w:r>
    </w:p>
    <w:p>
      <w:pPr>
        <w:pStyle w:val="Heading3"/>
      </w:pPr>
      <w:r>
        <w:rPr>
          <w:rFonts w:ascii="Times New Roman" w:hAnsi="Times New Roman"/>
        </w:rPr>
        <w:t>C. Eilbedürftigkeit</w:t>
      </w:r>
    </w:p>
    <w:p>
      <w:pPr>
        <w:jc w:val="left"/>
      </w:pPr>
      <w:r>
        <w:t xml:space="preserve">Versammlungstermin 13.06.2026, also drei Tage. Es wird gebeten, </w:t>
      </w:r>
      <w:r>
        <w:rPr>
          <w:b/>
        </w:rPr>
        <w:t>spätestens Donnerstag, 11.06.2026, 17:00 Uhr</w:t>
      </w:r>
      <w:r>
        <w:t xml:space="preserve"> zu entscheiden, damit Folgemaßnahmen (Aufzug, Pressekommunikation) noch koordiniert werden können.</w:t>
      </w:r>
    </w:p>
    <w:p/>
    <w:p>
      <w:pPr>
        <w:jc w:val="left"/>
      </w:pPr>
      <w:r>
        <w:rPr>
          <w:b/>
        </w:rPr>
        <w:t>Anlagen:</w:t>
      </w:r>
    </w:p>
    <w:p>
      <w:pPr>
        <w:pStyle w:val="ListBullet"/>
      </w:pPr>
      <w:r>
        <w:t>A 1: Widerspruchsschreiben vom heutigen Tage</w:t>
      </w:r>
    </w:p>
    <w:p>
      <w:pPr>
        <w:pStyle w:val="ListBullet"/>
      </w:pPr>
      <w:r>
        <w:t>A 2: Bescheid PolInsp SPN 2026-VS-0188 v. 02.06.2026</w:t>
      </w:r>
    </w:p>
    <w:p>
      <w:pPr>
        <w:pStyle w:val="ListBullet"/>
      </w:pPr>
      <w:r>
        <w:t>A 3: Versammlungsanmeldung v. 27.05.2026</w:t>
      </w:r>
    </w:p>
    <w:p>
      <w:pPr>
        <w:pStyle w:val="ListBullet"/>
      </w:pPr>
      <w:r>
        <w:t>A 4: Stellungnahme Veranstalter v. 31.05.2026</w:t>
      </w:r>
    </w:p>
    <w:p>
      <w:pPr>
        <w:pStyle w:val="ListBullet"/>
      </w:pPr>
      <w:r>
        <w:t>A 5: Vereinssatzung Initiative Lausitzer Lebensraum e.V.</w:t>
      </w:r>
    </w:p>
    <w:p>
      <w:pPr>
        <w:pStyle w:val="ListBullet"/>
      </w:pPr>
      <w:r>
        <w:t>A 6: Vollmacht</w:t>
      </w:r>
    </w:p>
    <w:p>
      <w:pPr>
        <w:pStyle w:val="ListBullet"/>
      </w:pPr>
      <w:r>
        <w:t>A 7: Sitzungsprotokoll Vorstand v. 03.06.2026</w:t>
      </w:r>
    </w:p>
    <w:p>
      <w:pPr>
        <w:pStyle w:val="ListBullet"/>
      </w:pPr>
      <w:r>
        <w:t>A 8: Lageplan Marktplatz / Festplatz / Aufzugsroute</w:t>
      </w:r>
    </w:p>
    <w:p>
      <w:pPr>
        <w:pStyle w:val="ListBullet"/>
      </w:pPr>
      <w:r>
        <w:t>A 9: Performance-Konzept Wischnewski-Strakuhl v. 05.06.2026</w:t>
      </w:r>
    </w:p>
    <w:p>
      <w:pPr>
        <w:pStyle w:val="ListBullet"/>
      </w:pPr>
      <w:r>
        <w:t>A 10: Schalltechnisches Gutachten Burgkrieger-Naumann v. 07.06.2026</w:t>
      </w:r>
    </w:p>
    <w:p>
      <w:pPr>
        <w:pStyle w:val="ListBullet"/>
      </w:pPr>
      <w:r>
        <w:t>A 11: Ordnerliste mit drei Ordnern (Schulz-Pötke, Mautz, Krieger)</w:t>
      </w:r>
    </w:p>
    <w:p>
      <w:pPr>
        <w:jc w:val="left"/>
      </w:pPr>
      <w:r>
        <w:t xml:space="preserve">gez. </w:t>
      </w:r>
      <w:r>
        <w:rPr>
          <w:b/>
        </w:rPr>
        <w:t>Dr. Friederike Hesselmann-Sauerbruch</w:t>
      </w:r>
    </w:p>
    <w:p>
      <w:pPr>
        <w:jc w:val="left"/>
      </w:pPr>
      <w:r>
        <w:t>Rechtsanwältin, Fachanwältin für Verwaltungsrecht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Verwaltungsgericht Cottbus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Verwaltungsgericht Cottbus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Gericht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