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Verwaltungsgericht Cottbus</w:t>
      </w:r>
    </w:p>
    <w:p>
      <w:pPr>
        <w:jc w:val="left"/>
      </w:pPr>
      <w:r>
        <w:rPr>
          <w:b/>
        </w:rPr>
        <w:t>3. Kammer</w:t>
      </w:r>
    </w:p>
    <w:p>
      <w:pPr>
        <w:jc w:val="left"/>
      </w:pPr>
      <w:r>
        <w:rPr>
          <w:b/>
        </w:rPr>
        <w:t>Az:</w:t>
      </w:r>
      <w:r>
        <w:t xml:space="preserve"> 3 L 188/26</w:t>
      </w:r>
    </w:p>
    <w:p>
      <w:pPr>
        <w:jc w:val="left"/>
      </w:pPr>
      <w:r>
        <w:rPr>
          <w:b/>
        </w:rPr>
        <w:t>Datum:</w:t>
      </w:r>
      <w:r>
        <w:t xml:space="preserve"> Donnerstag, 11.06.2026, 16:45 Uhr</w:t>
      </w:r>
    </w:p>
    <w:p>
      <w:pPr>
        <w:pStyle w:val="Heading2"/>
      </w:pPr>
      <w:r>
        <w:rPr>
          <w:rFonts w:ascii="Times New Roman" w:hAnsi="Times New Roman"/>
        </w:rPr>
        <w:t>Beschluss</w:t>
      </w:r>
    </w:p>
    <w:p>
      <w:pPr>
        <w:jc w:val="left"/>
      </w:pPr>
      <w:r>
        <w:t>In dem Eilrechtsschutzverfahren</w:t>
      </w:r>
    </w:p>
    <w:p>
      <w:pPr>
        <w:jc w:val="left"/>
      </w:pPr>
      <w:r>
        <w:rPr>
          <w:b/>
        </w:rPr>
        <w:t>Initiative Lausitzer Lebensraum e.V.</w:t>
      </w:r>
    </w:p>
    <w:p>
      <w:pPr>
        <w:jc w:val="left"/>
      </w:pPr>
      <w:r>
        <w:t>vertreten durch den 1. Vorsitzenden Dr. Werner-Karl Pohlmann-Brandenburg</w:t>
      </w:r>
    </w:p>
    <w:p>
      <w:pPr>
        <w:jc w:val="left"/>
      </w:pPr>
      <w:r>
        <w:t>— Antragstellerin —</w:t>
      </w:r>
    </w:p>
    <w:p>
      <w:pPr>
        <w:jc w:val="left"/>
      </w:pPr>
      <w:r>
        <w:t>verfahrensbevollmächtigt: Pohlmann &amp; Pohlmann RAe PartG mbB, RAin Dr. Friederike Hesselmann-Sauerbruch</w:t>
      </w:r>
    </w:p>
    <w:p>
      <w:pPr>
        <w:jc w:val="left"/>
      </w:pPr>
      <w:r>
        <w:t>gegen</w:t>
      </w:r>
    </w:p>
    <w:p>
      <w:pPr>
        <w:jc w:val="left"/>
      </w:pPr>
      <w:r>
        <w:rPr>
          <w:b/>
        </w:rPr>
        <w:t>Land Brandenburg, vertreten durch PolInsp Spree-Neiße</w:t>
      </w:r>
    </w:p>
    <w:p>
      <w:pPr>
        <w:jc w:val="left"/>
      </w:pPr>
      <w:r>
        <w:t>— Antragsgegnerin —</w:t>
      </w:r>
    </w:p>
    <w:p>
      <w:pPr>
        <w:jc w:val="left"/>
      </w:pPr>
      <w:r>
        <w:t>hat die 3. Kammer des Verwaltungsgerichts Cottbus durch</w:t>
      </w:r>
    </w:p>
    <w:p>
      <w:pPr>
        <w:pStyle w:val="ListBullet"/>
      </w:pPr>
      <w:r>
        <w:t>Vorsitzende Richterin am VG Dr. Susanne Marquardt-Heuser</w:t>
      </w:r>
    </w:p>
    <w:p>
      <w:pPr>
        <w:pStyle w:val="ListBullet"/>
      </w:pPr>
      <w:r>
        <w:t>Richter am VG Roland Pötzschke-Fink</w:t>
      </w:r>
    </w:p>
    <w:p>
      <w:pPr>
        <w:pStyle w:val="ListBullet"/>
      </w:pPr>
      <w:r>
        <w:t>Richter am VG Karl-Friedrich Wenzel</w:t>
      </w:r>
    </w:p>
    <w:p>
      <w:pPr>
        <w:jc w:val="left"/>
      </w:pPr>
      <w:r>
        <w:t>am 11.06.2026 beschlossen:</w:t>
      </w:r>
    </w:p>
    <w:p>
      <w:pPr>
        <w:pStyle w:val="Heading3"/>
      </w:pPr>
      <w:r>
        <w:rPr>
          <w:rFonts w:ascii="Times New Roman" w:hAnsi="Times New Roman"/>
        </w:rPr>
        <w:t>Tenor</w:t>
      </w:r>
    </w:p>
    <w:p>
      <w:pPr>
        <w:pStyle w:val="ListNumber"/>
      </w:pPr>
      <w:r>
        <w:t xml:space="preserve">Die aufschiebende Wirkung des Widerspruchs der Antragstellerin gegen den Bescheid der Antragsgegnerin vom 02.06.2026 (Az PolInsp SPN 2026-VS-0188) wird </w:t>
      </w:r>
      <w:r>
        <w:rPr>
          <w:b/>
        </w:rPr>
        <w:t>hinsichtlich der Auflagen 1, 2, 5, 6 und 8</w:t>
      </w:r>
      <w:r>
        <w:t xml:space="preserve"> angeordnet.</w:t>
      </w:r>
    </w:p>
    <w:p>
      <w:pPr>
        <w:pStyle w:val="ListNumber"/>
      </w:pPr>
      <w:r>
        <w:rPr>
          <w:b/>
        </w:rPr>
        <w:t>Auflage 4</w:t>
      </w:r>
      <w:r>
        <w:t xml:space="preserve"> wird einstweilen wie folgt modifiziert: "Der Mittlungspegel über jeweils 30 Minuten darf am nächstgelegenen Wohnhaus (Berliner Straße 47) 82 dB(A) nicht überschreiten; kurzzeitige Spitzen bis 90 dB(A) (Dauer ≤ 3 s) sind hinzunehmen."</w:t>
      </w:r>
    </w:p>
    <w:p>
      <w:pPr>
        <w:pStyle w:val="ListNumber"/>
      </w:pPr>
      <w:r>
        <w:rPr>
          <w:b/>
        </w:rPr>
        <w:t>Auflage 3</w:t>
      </w:r>
      <w:r>
        <w:t xml:space="preserve"> (Pyrotechnikverbot) und </w:t>
      </w:r>
      <w:r>
        <w:rPr>
          <w:b/>
        </w:rPr>
        <w:t>Auflage 7</w:t>
      </w:r>
      <w:r>
        <w:t xml:space="preserve"> (Anwesenheitspflicht Versammlungsleiter) bleiben aufrechterhalten.</w:t>
      </w:r>
    </w:p>
    <w:p>
      <w:pPr>
        <w:pStyle w:val="ListNumber"/>
      </w:pPr>
      <w:r>
        <w:t>Die Antragsgegnerin trägt die Kosten des Verfahrens zu 5/6, die Antragstellerin zu 1/6.</w:t>
      </w:r>
    </w:p>
    <w:p>
      <w:pPr>
        <w:pStyle w:val="ListNumber"/>
      </w:pPr>
      <w:r>
        <w:t>Der Streitwert wird auf 7.500 EUR festgesetzt.</w:t>
      </w:r>
    </w:p>
    <w:p>
      <w:pPr>
        <w:pStyle w:val="Heading3"/>
      </w:pPr>
      <w:r>
        <w:rPr>
          <w:rFonts w:ascii="Times New Roman" w:hAnsi="Times New Roman"/>
        </w:rPr>
        <w:t>Gründe</w:t>
      </w:r>
    </w:p>
    <w:p>
      <w:pPr>
        <w:pStyle w:val="Heading3"/>
      </w:pPr>
      <w:r>
        <w:rPr>
          <w:rFonts w:ascii="Times New Roman" w:hAnsi="Times New Roman"/>
        </w:rPr>
        <w:t>A. Sachverhalt</w:t>
      </w:r>
    </w:p>
    <w:p>
      <w:pPr>
        <w:jc w:val="left"/>
      </w:pPr>
      <w:r>
        <w:t>Wegen des Sachverhalts wird auf die Schriftsätze der Beteiligten und die beigezogene Verwaltungsakte Bezug genommen.</w:t>
      </w:r>
    </w:p>
    <w:p>
      <w:pPr>
        <w:pStyle w:val="Heading3"/>
      </w:pPr>
      <w:r>
        <w:rPr>
          <w:rFonts w:ascii="Times New Roman" w:hAnsi="Times New Roman"/>
        </w:rPr>
        <w:t>B. Begründetheit</w:t>
      </w:r>
    </w:p>
    <w:p>
      <w:pPr>
        <w:jc w:val="left"/>
      </w:pPr>
      <w:r>
        <w:rPr>
          <w:b/>
        </w:rPr>
        <w:t>I. Maßstab</w:t>
      </w:r>
    </w:p>
    <w:p>
      <w:pPr>
        <w:jc w:val="left"/>
      </w:pPr>
      <w:r>
        <w:t xml:space="preserve">Die Anordnung der aufschiebenden Wirkung folgt aus § 80 V S. 1 Alt. 1 VwGO bei überwiegendem Aufschubsinteresse oder offensichtlicher Rechtswidrigkeit des Verwaltungsakts. Bei Versammlungsauflagen sind die Vorgaben aus </w:t>
      </w:r>
      <w:r>
        <w:rPr>
          <w:b/>
        </w:rPr>
        <w:t>BVerfGE 69, 315</w:t>
      </w:r>
      <w:r>
        <w:t xml:space="preserve"> (Brokdorf) zu beachten; nur konkrete und greifbare Gefahren rechtfertigen Beschränkungen.</w:t>
      </w:r>
    </w:p>
    <w:p>
      <w:pPr>
        <w:jc w:val="left"/>
      </w:pPr>
      <w:r>
        <w:rPr>
          <w:b/>
        </w:rPr>
        <w:t>II. Einzelne Auflagen</w:t>
      </w:r>
    </w:p>
    <w:p>
      <w:pPr>
        <w:jc w:val="left"/>
      </w:pPr>
      <w:r>
        <w:rPr>
          <w:b/>
        </w:rPr>
        <w:t>1. Standortverlegung (Auflage 1) — rechtswidrig</w:t>
      </w:r>
    </w:p>
    <w:p>
      <w:pPr>
        <w:jc w:val="left"/>
      </w:pPr>
      <w:r>
        <w:t xml:space="preserve">Der Schutzbereich des Art. 8 I GG umfasst die selbstgewählte Versammlungsstätte (BVerfGE 69, 315 [343 f.]). Der Brunhildebrunnen ist konstitutiver Bezugspunkt der Versammlung. Eine Verlegung 4,2 km außerhalb der Stadt ist ein gravierender Eingriff. Die Antragsgegnerin hat keine konkrete Gefahr für den Brunnen dargelegt; das vorgelegte Schreiben der Unteren Denkmalbehörde (Anlage B 3) führt aus, dass der Erhaltungszustand „verbesserungswürdig" sei, nennt aber </w:t>
      </w:r>
      <w:r>
        <w:rPr>
          <w:b/>
        </w:rPr>
        <w:t>keine versammlungsspezifischen Risiken</w:t>
      </w:r>
      <w:r>
        <w:t>. Mildere Mittel (Absperrgitter, Ordnergestellung, Sichtkontrolle durch Beamte vor Ort) sind ersichtlich.</w:t>
      </w:r>
    </w:p>
    <w:p>
      <w:pPr>
        <w:jc w:val="left"/>
      </w:pPr>
      <w:r>
        <w:rPr>
          <w:b/>
        </w:rPr>
        <w:t>2. Aufzugsverbot (Auflage 2) — rechtswidrig</w:t>
      </w:r>
    </w:p>
    <w:p>
      <w:pPr>
        <w:jc w:val="left"/>
      </w:pPr>
      <w:r>
        <w:t>Aufzüge sind versammlungstypisch (BVerfGE 87, 399; BVerfGE 104, 92). Das pauschale Verbot übersieht, dass die Cottbuser Straße werktags zwischen 12:00 und 14:00 (Aufzugszeit) verkehrsärmer ist als an Spitzenzeiten. Linienverkehr (871, 873) kann nach den Erfahrungen der Polizei Spree-Neiße durch eine vorübergehende Umleitung über Bahnhofstraße/Berliner Straße abgewickelt werden (vgl. Klimastreik Cottbus 22.09.2023, dort identische Verkehrsführung).</w:t>
      </w:r>
    </w:p>
    <w:p>
      <w:pPr>
        <w:jc w:val="left"/>
      </w:pPr>
      <w:r>
        <w:rPr>
          <w:b/>
        </w:rPr>
        <w:t>3. Pyrotechnikverbot (Auflage 3) — rechtmäßig</w:t>
      </w:r>
    </w:p>
    <w:p>
      <w:pPr>
        <w:jc w:val="left"/>
      </w:pPr>
      <w:r>
        <w:t>Die abstrakte Gefahr durch Pyrotechnik ist bei Versammlungen vergleichbarer Größe konkretisierbar (Lützerath, Welzow). Auflage 3 ist geeignet, erforderlich (mildere Mittel kaum vorhanden) und angemessen.</w:t>
      </w:r>
    </w:p>
    <w:p>
      <w:pPr>
        <w:jc w:val="left"/>
      </w:pPr>
      <w:r>
        <w:rPr>
          <w:b/>
        </w:rPr>
        <w:t>4. Lautstärkebegrenzung (Auflage 4) — teilrechtswidrig</w:t>
      </w:r>
    </w:p>
    <w:p>
      <w:pPr>
        <w:jc w:val="left"/>
      </w:pPr>
      <w:r>
        <w:t>Die starre 75-dB-Grenze ist nach den schalltechnischen Ausführungen des Sachverständigen Burgkrieger-Naumann (Anlage A 10) bei einer Versammlung dieser Größe und Charakteristik praktisch nicht einzuhalten. Eine Versammlungsbehörde muss versammlungstypische Geräuschpegel hinnehmen (OVG Münster 15 B 49/21; VGH München 10 CS 22.188). Allerdings ist das berechtigte Interesse der Mieterin Berliner Straße 47 (Schwerhörigkeit, ärztlich bestätigt) zu berücksichtigen. Die Kammer hält daher eine Grenze von 82 dB(A) Mittelwert (statt 85 dB(A) aus dem Antrag) für angemessen.</w:t>
      </w:r>
    </w:p>
    <w:p>
      <w:pPr>
        <w:jc w:val="left"/>
      </w:pPr>
      <w:r>
        <w:rPr>
          <w:b/>
        </w:rPr>
        <w:t>5. Verkürzung 14:00–17:00 (Auflage 5) — rechtswidrig</w:t>
      </w:r>
    </w:p>
    <w:p>
      <w:pPr>
        <w:jc w:val="left"/>
      </w:pPr>
      <w:r>
        <w:t>Die Verkürzung der Versammlung auf 50 % der angemeldeten Dauer ist ein erheblicher Eingriff in die Gestaltungsfreiheit. Die Begründung mit „Eskalationswahrscheinlichkeit" beruht auf einer abstrakten Annahme; konkrete Anhaltspunkte für eine Eskalation gerade in den Stunden 17:00–18:00 sind nicht ersichtlich. Auflagen 3 und 7 sichern die ordnungsgemäße Durchführung über die volle Dauer hinreichend.</w:t>
      </w:r>
    </w:p>
    <w:p>
      <w:pPr>
        <w:jc w:val="left"/>
      </w:pPr>
      <w:r>
        <w:rPr>
          <w:b/>
        </w:rPr>
        <w:t>6. Verbot Erdaushebung-Performance (Auflage 6) — rechtswidrig</w:t>
      </w:r>
    </w:p>
    <w:p>
      <w:pPr>
        <w:jc w:val="left"/>
      </w:pPr>
      <w:r>
        <w:t xml:space="preserve">Die Performance findet nach dem detaillierten Konzept (Anlage A 9) ausschließlich auf vorbereiteten Holzpaletten statt; das öffentliche Pflaster wird nicht berührt. Eine Sachbeschädigung am Marktplatz scheidet aus. Die Annahme, die Performance könne </w:t>
      </w:r>
      <w:r>
        <w:rPr>
          <w:b/>
        </w:rPr>
        <w:t>als Aufruf zu Sachbeschädigung an Tagebau-Infrastruktur</w:t>
      </w:r>
      <w:r>
        <w:t xml:space="preserve"> verstanden werden, ist eine </w:t>
      </w:r>
      <w:r>
        <w:rPr>
          <w:b/>
        </w:rPr>
        <w:t>Gefahrenvermutung dritter Stufe</w:t>
      </w:r>
      <w:r>
        <w:t xml:space="preserve"> und nicht versammlungsrechtlich tragend (BVerfG 1 BvR 1391/04). Künstlerische Inhalte einer Versammlung sind durch Art. 5 III GG zusätzlich geschützt.</w:t>
      </w:r>
    </w:p>
    <w:p>
      <w:pPr>
        <w:jc w:val="left"/>
      </w:pPr>
      <w:r>
        <w:rPr>
          <w:b/>
        </w:rPr>
        <w:t>7. Anwesenheitspflicht Versammlungsleiter (Auflage 7) — rechtmäßig</w:t>
      </w:r>
    </w:p>
    <w:p>
      <w:pPr>
        <w:jc w:val="left"/>
      </w:pPr>
      <w:r>
        <w:t>Folgt unmittelbar aus § 18 VersG.</w:t>
      </w:r>
    </w:p>
    <w:p>
      <w:pPr>
        <w:jc w:val="left"/>
      </w:pPr>
      <w:r>
        <w:rPr>
          <w:b/>
        </w:rPr>
        <w:t>8. Drei Ordner mit Führungszeugnis (Auflage 8) — rechtswidrig</w:t>
      </w:r>
    </w:p>
    <w:p>
      <w:pPr>
        <w:jc w:val="left"/>
      </w:pPr>
      <w:r>
        <w:t>§ 18 VersG kennt keine Führungszeugnispflicht für Ordner. Das brandenburgische Versammlungsgesetz enthält ebenfalls keine entsprechende Regelung. Die Auflage ist daher mangels Rechtsgrundlage rechtswidrig.</w:t>
      </w:r>
    </w:p>
    <w:p>
      <w:pPr>
        <w:pStyle w:val="Heading3"/>
      </w:pPr>
      <w:r>
        <w:rPr>
          <w:rFonts w:ascii="Times New Roman" w:hAnsi="Times New Roman"/>
        </w:rPr>
        <w:t>C. Kosten</w:t>
      </w:r>
    </w:p>
    <w:p>
      <w:pPr>
        <w:jc w:val="left"/>
      </w:pPr>
      <w:r>
        <w:t>§ 155 I S. 1 VwGO; die Antragstellerin obsiegt zu 5/6 (Auflagen 1, 2, 5, 6, 8 vollständig; Auflage 4 teilweise), die Antragsgegnerin zu 1/6 (Auflagen 3, 7).</w:t>
      </w:r>
    </w:p>
    <w:p>
      <w:pPr>
        <w:pStyle w:val="Heading3"/>
      </w:pPr>
      <w:r>
        <w:rPr>
          <w:rFonts w:ascii="Times New Roman" w:hAnsi="Times New Roman"/>
        </w:rPr>
        <w:t>D. Streitwert</w:t>
      </w:r>
    </w:p>
    <w:p>
      <w:pPr>
        <w:jc w:val="left"/>
      </w:pPr>
      <w:r>
        <w:t>§ 52 II GKG; Auffangwert 5.000 EUR x 1,5 (mehrere Auflagen) = 7.500 EUR.</w:t>
      </w:r>
    </w:p>
    <w:p>
      <w:pPr>
        <w:pStyle w:val="Heading3"/>
      </w:pPr>
      <w:r>
        <w:rPr>
          <w:rFonts w:ascii="Times New Roman" w:hAnsi="Times New Roman"/>
        </w:rPr>
        <w:t>E. Rechtsmittelbelehrung</w:t>
      </w:r>
    </w:p>
    <w:p>
      <w:pPr>
        <w:jc w:val="left"/>
      </w:pPr>
      <w:r>
        <w:t xml:space="preserve">Gegen diesen Beschluss steht den Beteiligten die </w:t>
      </w:r>
      <w:r>
        <w:rPr>
          <w:b/>
        </w:rPr>
        <w:t>Beschwerde</w:t>
      </w:r>
      <w:r>
        <w:t xml:space="preserve"> zum Oberverwaltungsgericht Berlin-Brandenburg zu (§ 146 VwGO). Frist: 2 Wochen ab Zustellung.</w:t>
      </w:r>
    </w:p>
    <w:p>
      <w:pPr>
        <w:jc w:val="left"/>
      </w:pPr>
      <w:r>
        <w:t xml:space="preserve">gez. </w:t>
      </w:r>
      <w:r>
        <w:rPr>
          <w:b/>
        </w:rPr>
        <w:t>Dr. Marquardt-Heuser</w:t>
      </w:r>
      <w:r>
        <w:t>, Vorsitzende Richterin</w:t>
      </w:r>
    </w:p>
    <w:p>
      <w:pPr>
        <w:jc w:val="left"/>
      </w:pPr>
      <w:r>
        <w:t xml:space="preserve">gez. </w:t>
      </w:r>
      <w:r>
        <w:rPr>
          <w:b/>
        </w:rPr>
        <w:t>Pötzschke-Fink</w:t>
      </w:r>
      <w:r>
        <w:t>, Richter</w:t>
      </w:r>
    </w:p>
    <w:p>
      <w:pPr>
        <w:jc w:val="left"/>
      </w:pPr>
      <w:r>
        <w:t xml:space="preserve">gez. </w:t>
      </w:r>
      <w:r>
        <w:rPr>
          <w:b/>
        </w:rPr>
        <w:t>Wenzel</w:t>
      </w:r>
      <w:r>
        <w:t>, Richter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Verwaltungsgericht Cottbus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Verwaltungsgericht Cottbus</w:t>
    </w:r>
  </w:p>
  <w:p>
    <w:pPr>
      <w:jc w:val="left"/>
      <w:pBdr>
        <w:bottom w:val="single" w:sz="6" w:space="2" w:color="3B3F45"/>
      </w:pBdr>
    </w:pPr>
    <w:r>
      <w:rPr>
        <w:rFonts w:ascii="Times New Roman" w:hAnsi="Times New Roman"/>
        <w:color w:val="6B6B66"/>
        <w:sz w:val="16"/>
      </w:rPr>
      <w:t>Gericht · 3 L 188/26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