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Widerspruch gegen Polizeiverfuegung Polizeipraesidium Cottbus</w:t>
      </w:r>
    </w:p>
    <w:p>
      <w:pPr>
        <w:jc w:val="left"/>
      </w:pPr>
      <w:r>
        <w:rPr>
          <w:b/>
        </w:rPr>
        <w:t>Pohlmann und Pohlmann RAe PartG mbB</w:t>
      </w:r>
    </w:p>
    <w:p>
      <w:pPr>
        <w:jc w:val="left"/>
      </w:pPr>
      <w:r>
        <w:t>Friedrichstrasse 117, 10117 Berlin</w:t>
      </w:r>
    </w:p>
    <w:p>
      <w:pPr>
        <w:jc w:val="left"/>
      </w:pPr>
      <w:r>
        <w:t>beA-SAFE-ID: DE.RAK-Berlin-PoPo</w:t>
      </w:r>
    </w:p>
    <w:p>
      <w:pPr>
        <w:jc w:val="left"/>
      </w:pPr>
      <w:r>
        <w:rPr>
          <w:b/>
        </w:rPr>
        <w:t>An:</w:t>
      </w:r>
    </w:p>
    <w:p>
      <w:pPr>
        <w:jc w:val="left"/>
      </w:pPr>
      <w:r>
        <w:t>Polizeipraesidium Cottbus, Widerspruchsbehoerde</w:t>
      </w:r>
    </w:p>
    <w:p>
      <w:pPr>
        <w:jc w:val="left"/>
      </w:pPr>
      <w:r>
        <w:t>Hubertstrasse 78, 03046 Cottbus</w:t>
      </w:r>
    </w:p>
    <w:p>
      <w:pPr>
        <w:jc w:val="left"/>
      </w:pPr>
      <w:r>
        <w:rPr>
          <w:b/>
        </w:rPr>
        <w:t>Per beA</w:t>
      </w:r>
      <w:r>
        <w:t>, vorab per Fax (FaxNr 0355 - 624 24 99)</w:t>
      </w:r>
    </w:p>
    <w:p>
      <w:pPr>
        <w:jc w:val="left"/>
      </w:pPr>
      <w:r>
        <w:rPr>
          <w:b/>
        </w:rPr>
        <w:t>Az Kanzlei:</w:t>
      </w:r>
      <w:r>
        <w:t xml:space="preserve"> PoPo-2026-VR-0617</w:t>
      </w:r>
    </w:p>
    <w:p>
      <w:pPr>
        <w:jc w:val="left"/>
      </w:pPr>
      <w:r>
        <w:rPr>
          <w:b/>
        </w:rPr>
        <w:t>Az Behoerde:</w:t>
      </w:r>
      <w:r>
        <w:t xml:space="preserve"> PolPraes COT-2026-VS-0188</w:t>
      </w:r>
    </w:p>
    <w:p>
      <w:pPr>
        <w:jc w:val="left"/>
      </w:pPr>
      <w:r>
        <w:rPr>
          <w:b/>
        </w:rPr>
        <w:t>Datum:</w:t>
      </w:r>
      <w:r>
        <w:t xml:space="preserve"> 05.06.2026 (zweiter Werktag nach Bekanntgabe)</w:t>
      </w:r>
    </w:p>
    <w:p/>
    <w:p>
      <w:pPr>
        <w:pStyle w:val="Heading2"/>
      </w:pPr>
      <w:r>
        <w:rPr>
          <w:rFonts w:ascii="Times New Roman" w:hAnsi="Times New Roman"/>
        </w:rPr>
        <w:t>Betreff</w:t>
      </w:r>
    </w:p>
    <w:p>
      <w:pPr>
        <w:jc w:val="left"/>
      </w:pPr>
      <w:r>
        <w:rPr>
          <w:b/>
        </w:rPr>
        <w:t>Widerspruch</w:t>
      </w:r>
      <w:r>
        <w:t xml:space="preserve"> nach § 68 VwGO gegen die Polizeiverfuegung vom 02.06.2026 hinsichtlich der Versammlung der Initiative Lausitzer Lebensraum e.V. vom 17.06.2026, Marktplatz Forst, "Vier Stufen der Trauer um den Lausitzer Wald"</w:t>
      </w:r>
    </w:p>
    <w:p>
      <w:pPr>
        <w:jc w:val="left"/>
      </w:pPr>
      <w:r>
        <w:t>Sehr geehrte Damen und Herren,</w:t>
      </w:r>
    </w:p>
    <w:p>
      <w:pPr>
        <w:jc w:val="left"/>
      </w:pPr>
      <w:r>
        <w:t>namens und in Vollmacht der Initiative Lausitzer Lebensraum e.V., vertreten durch den 1. Vorsitzenden Dr. Werner-Karl Pohlmann-Brandenburg (Vollmacht beigefuegt), legen wir gegen die oben bezeichnete Polizeiverfuegung</w:t>
      </w:r>
    </w:p>
    <w:p>
      <w:pPr>
        <w:pStyle w:val="Heading2"/>
      </w:pPr>
      <w:r>
        <w:rPr>
          <w:rFonts w:ascii="Times New Roman" w:hAnsi="Times New Roman"/>
        </w:rPr>
        <w:t>Widerspruch</w:t>
      </w:r>
    </w:p>
    <w:p>
      <w:pPr>
        <w:jc w:val="left"/>
      </w:pPr>
      <w:r>
        <w:t>ein.</w:t>
      </w:r>
    </w:p>
    <w:p>
      <w:pPr>
        <w:jc w:val="left"/>
      </w:pPr>
      <w:r>
        <w:t>Der Widerspruch richtet sich gegen die Auflagen Nrn. 1, 2, 4, 5, 6 und 8 der Polizeiverfuegung; gegen die Auflagen Nrn. 3 und 7 erstreckt sich der Widerspruch nicht.</w:t>
      </w:r>
    </w:p>
    <w:p>
      <w:pPr>
        <w:pStyle w:val="Heading2"/>
      </w:pPr>
      <w:r>
        <w:rPr>
          <w:rFonts w:ascii="Times New Roman" w:hAnsi="Times New Roman"/>
        </w:rPr>
        <w:t>Begruendung</w:t>
      </w:r>
    </w:p>
    <w:p>
      <w:pPr>
        <w:pStyle w:val="Heading3"/>
      </w:pPr>
      <w:r>
        <w:rPr>
          <w:rFonts w:ascii="Times New Roman" w:hAnsi="Times New Roman"/>
        </w:rPr>
        <w:t>A. Sachverhalt</w:t>
      </w:r>
    </w:p>
    <w:p>
      <w:pPr>
        <w:jc w:val="left"/>
      </w:pPr>
      <w:r>
        <w:t>Auf den Sachverhalt der angefochtenen Verfuegung wird Bezug genommen. Erganzend ist auf den ausfuehrlichen Eilantrag nach § 80 Abs. 5 VwGO vom 09.06.2026 hingewiesen, der dem Verwaltungsgericht Cottbus zur Az 3 L 188/26 vorgelegt wurde (Aktenstueck 11).</w:t>
      </w:r>
    </w:p>
    <w:p>
      <w:pPr>
        <w:pStyle w:val="Heading3"/>
      </w:pPr>
      <w:r>
        <w:rPr>
          <w:rFonts w:ascii="Times New Roman" w:hAnsi="Times New Roman"/>
        </w:rPr>
        <w:t>B. Rechtliche Wuerdigung</w:t>
      </w:r>
    </w:p>
    <w:p>
      <w:pPr>
        <w:jc w:val="left"/>
      </w:pPr>
      <w:r>
        <w:rPr>
          <w:b/>
        </w:rPr>
        <w:t>I. Auflage 1 (Standortverlegung): rechtswidrig.</w:t>
      </w:r>
    </w:p>
    <w:p>
      <w:pPr>
        <w:jc w:val="left"/>
      </w:pPr>
      <w:r>
        <w:t xml:space="preserve">Der Schutzbereich des Art. 8 Abs. 1 GG umfasst die selbstgewaehlte Versammlungsstaette (BVerfGE 69, 315 [343 f.]). Der </w:t>
      </w:r>
      <w:r>
        <w:rPr>
          <w:b/>
        </w:rPr>
        <w:t>Brunhildebrunnen</w:t>
      </w:r>
      <w:r>
        <w:t xml:space="preserve"> in Forst ist konstitutiver Bezugspunkt der Versammlung; eine Verlegung 4,2 km ausserhalb der Stadt waere ein erheblicher Eingriff. Eine konkrete Gefahr fuer den Brunnen ist nicht dargelegt; mildere Mittel (Absperrgitter, Ordnergestellung) sind ersichtlich.</w:t>
      </w:r>
    </w:p>
    <w:p>
      <w:pPr>
        <w:jc w:val="left"/>
      </w:pPr>
      <w:r>
        <w:rPr>
          <w:b/>
        </w:rPr>
        <w:t>II. Auflage 2 (Aufzugsverbot): rechtswidrig.</w:t>
      </w:r>
    </w:p>
    <w:p>
      <w:pPr>
        <w:jc w:val="left"/>
      </w:pPr>
      <w:r>
        <w:t>Aufzuege sind versammlungstypisch (BVerfGE 87, 399; BVerfGE 104, 92). Das pauschale Verbot uebersieht, dass die Cottbuser Strasse zwischen 12:00 und 14:00 verkehrsarm ist und die Polizei Spree-Neisse bei dem Klimastreik vom 22.09.2023 unter vergleichbaren Bedingungen eine reibungslose Umleitung des Linienverkehrs (Buslinie 871, 873) sichergestellt hat.</w:t>
      </w:r>
    </w:p>
    <w:p>
      <w:pPr>
        <w:jc w:val="left"/>
      </w:pPr>
      <w:r>
        <w:rPr>
          <w:b/>
        </w:rPr>
        <w:t>III. Auflage 4 (Schallpegel 65 dB(A)): teilrechtswidrig.</w:t>
      </w:r>
    </w:p>
    <w:p>
      <w:pPr>
        <w:jc w:val="left"/>
      </w:pPr>
      <w:r>
        <w:t>Die starre 65-dB-Grenze ist nach dem schalltechnischen Gutachten des Sachverstaendigen Burgkrieger (TUEV Nord, Aktenstueck 10) bei einer Versammlung dieser Groesse praktisch nicht einzuhalten. Eine Versammlungsbehoerde muss versammlungstypische Geraeuschpegel hinnehmen (OVG Berlin-Brandenburg, B v. 18.04.2023, OVG 1 S 18/23; OVG Muenster 15 B 49/21). Vorgeschlagen wird 82 dB(A) Mittelwert mit Spitzen bis 90 dB(A).</w:t>
      </w:r>
    </w:p>
    <w:p>
      <w:pPr>
        <w:jc w:val="left"/>
      </w:pPr>
      <w:r>
        <w:rPr>
          <w:b/>
        </w:rPr>
        <w:t>IV. Auflage 5 (Verkuerzung 14:00-17:00): rechtswidrig.</w:t>
      </w:r>
    </w:p>
    <w:p>
      <w:pPr>
        <w:jc w:val="left"/>
      </w:pPr>
      <w:r>
        <w:t>Verkuerzung um 50 % der angemeldeten Dauer ist erheblicher Eingriff. Die Eskalationsannahme ist abstrakt; konkrete Anhaltspunkte gerade fuer die Stunden 17:00-18:00 fehlen.</w:t>
      </w:r>
    </w:p>
    <w:p>
      <w:pPr>
        <w:jc w:val="left"/>
      </w:pPr>
      <w:r>
        <w:rPr>
          <w:b/>
        </w:rPr>
        <w:t>V. Auflage 6 (Verbot Erdaushebungs-Performance): rechtswidrig.</w:t>
      </w:r>
    </w:p>
    <w:p>
      <w:pPr>
        <w:jc w:val="left"/>
      </w:pPr>
      <w:r>
        <w:t>Die Performance findet auf vorbereiteten Holzpaletten statt; oeffentliches Pflaster wird nicht beruehrt (Performance-Konzept Aktenstueck 09). Eine Sachbeschaedigung scheidet aus. Die Annahme, die Performance koenne als Aufruf zu Sachbeschaedigung an Tagebau-Infrastruktur verstanden werden, ist eine Gefahrenvermutung dritter Stufe (BVerfG 1 BvR 1391/04). Kuenstlerische Versammlungsinhalte sind durch Art. 5 Abs. 3 GG zusaetzlich geschuetzt.</w:t>
      </w:r>
    </w:p>
    <w:p>
      <w:pPr>
        <w:jc w:val="left"/>
      </w:pPr>
      <w:r>
        <w:rPr>
          <w:b/>
        </w:rPr>
        <w:t>VI. Auflage 8 (Drei Ordner mit Fuehrungszeugnis): rechtswidrig.</w:t>
      </w:r>
    </w:p>
    <w:p>
      <w:pPr>
        <w:jc w:val="left"/>
      </w:pPr>
      <w:r>
        <w:t>§ 18 VersG kennt keine Fuehrungszeugnispflicht fuer Ordner. Das brandenburgische Versammlungsgesetz enthaelt ebenfalls keine entsprechende Regelung. Die Auflage entbehrt der Rechtsgrundlage.</w:t>
      </w:r>
    </w:p>
    <w:p>
      <w:pPr>
        <w:pStyle w:val="Heading3"/>
      </w:pPr>
      <w:r>
        <w:rPr>
          <w:rFonts w:ascii="Times New Roman" w:hAnsi="Times New Roman"/>
        </w:rPr>
        <w:t>C. Antrag</w:t>
      </w:r>
    </w:p>
    <w:p>
      <w:pPr>
        <w:jc w:val="left"/>
      </w:pPr>
      <w:r>
        <w:t>Der Widerspruchsbehoerde wird hoeflich nahegelegt, die angefochtene Verfuegung in den vorbezeichneten Auflagen aufzuheben.</w:t>
      </w:r>
    </w:p>
    <w:p>
      <w:pPr>
        <w:pStyle w:val="Heading2"/>
      </w:pPr>
      <w:r>
        <w:rPr>
          <w:rFonts w:ascii="Times New Roman" w:hAnsi="Times New Roman"/>
        </w:rPr>
        <w:t>Bitte um Vorabentscheidung</w:t>
      </w:r>
    </w:p>
    <w:p>
      <w:pPr>
        <w:jc w:val="left"/>
      </w:pPr>
      <w:r>
        <w:t xml:space="preserve">Wegen der Eilbeduerftigkeit (Versammlungstermin 17.06.2026) bitten wir um vorabentscheidende Aufhebung saemtlicher angefochtener Auflagen </w:t>
      </w:r>
      <w:r>
        <w:rPr>
          <w:b/>
        </w:rPr>
        <w:t>bis spaetestens 13.06.2026, 12:00 Uhr</w:t>
      </w:r>
      <w:r>
        <w:t xml:space="preserve"> im Wege einer Abhilfeentscheidung nach § 72 VwGO. Andernfalls verlassen wir uns auf die parallel anhaengige Eilrechtsschutzentscheidung des VG Cottbus (3 L 188/26).</w:t>
      </w:r>
    </w:p>
    <w:p>
      <w:pPr>
        <w:pStyle w:val="Heading2"/>
      </w:pPr>
      <w:r>
        <w:rPr>
          <w:rFonts w:ascii="Times New Roman" w:hAnsi="Times New Roman"/>
        </w:rPr>
        <w:t>Anlagen</w:t>
      </w:r>
    </w:p>
    <w:p>
      <w:pPr>
        <w:pStyle w:val="ListBullet"/>
      </w:pPr>
      <w:r>
        <w:t>Anwaltsvollmacht (Aktenstueck 21)</w:t>
      </w:r>
    </w:p>
    <w:p>
      <w:pPr>
        <w:pStyle w:val="ListBullet"/>
      </w:pPr>
      <w:r>
        <w:t>Versammlungsanmeldung 27.05.2026 (Aktenstueck 03)</w:t>
      </w:r>
    </w:p>
    <w:p>
      <w:pPr>
        <w:pStyle w:val="ListBullet"/>
      </w:pPr>
      <w:r>
        <w:t>Polizeiverfuegung 02.06.2026 (Aktenstueck 07)</w:t>
      </w:r>
    </w:p>
    <w:p>
      <w:pPr>
        <w:pStyle w:val="ListBullet"/>
      </w:pPr>
      <w:r>
        <w:t>Performance-Konzept Wischnewski (Aktenstueck 09)</w:t>
      </w:r>
    </w:p>
    <w:p>
      <w:pPr>
        <w:pStyle w:val="ListBullet"/>
      </w:pPr>
      <w:r>
        <w:t>Schallgutachten Burgkrieger (Aktenstueck 10)</w:t>
      </w:r>
    </w:p>
    <w:p>
      <w:pPr>
        <w:jc w:val="left"/>
      </w:pPr>
      <w:r>
        <w:t>Mit freundlichen kollegialen Gruessen,</w:t>
      </w:r>
    </w:p>
    <w:p/>
    <w:p>
      <w:pPr>
        <w:jc w:val="left"/>
      </w:pPr>
      <w:r>
        <w:t>RAin Dr. Friederike Hesselmann-Sauerbruch</w:t>
      </w:r>
    </w:p>
    <w:p>
      <w:pPr>
        <w:jc w:val="left"/>
      </w:pPr>
      <w:r>
        <w:t>Pohlmann und Pohlmann RAe PartG mbB</w:t>
      </w:r>
    </w:p>
    <w:p>
      <w:pPr>
        <w:jc w:val="left"/>
      </w:pPr>
      <w:r>
        <w:rPr>
          <w:b/>
        </w:rPr>
        <w:t>Aktenzeichen Kanzlei:</w:t>
      </w:r>
      <w:r>
        <w:t xml:space="preserve"> PoPo-2026-VR-0617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Pohlmann und Pohlmann RAe PartG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2"/>
      </w:rPr>
      <w:t>POHLMANN UND POHLMANN RAE PARTG MBB</w:t>
    </w:r>
  </w:p>
  <w:p>
    <w:pPr>
      <w:jc w:val="left"/>
      <w:pBdr>
        <w:bottom w:val="single" w:sz="8" w:space="2" w:color="2C5230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