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— Marktüberwachung BNetzA — MFS-2026-RAPEX-1188</w:t>
      </w:r>
    </w:p>
    <w:p>
      <w:pPr>
        <w:jc w:val="left"/>
      </w:pPr>
      <w:r>
        <w:rPr>
          <w:b/>
        </w:rPr>
        <w:t>Dokument-Typ:</w:t>
      </w:r>
      <w:r>
        <w:t xml:space="preserve"> Behördenkorrespondenz und Strategie</w:t>
      </w:r>
    </w:p>
    <w:p>
      <w:pPr>
        <w:jc w:val="left"/>
      </w:pPr>
      <w:r>
        <w:rPr>
          <w:b/>
        </w:rPr>
        <w:t>AZ Kanzlei:</w:t>
      </w:r>
      <w:r>
        <w:t xml:space="preserve"> MR-2026-0822</w:t>
      </w:r>
    </w:p>
    <w:p>
      <w:pPr>
        <w:jc w:val="left"/>
      </w:pPr>
      <w:r>
        <w:rPr>
          <w:b/>
        </w:rPr>
        <w:t>AZ BNetzA:</w:t>
      </w:r>
      <w:r>
        <w:t xml:space="preserve"> MFS-2026-RAPEX-1188</w:t>
      </w:r>
    </w:p>
    <w:p>
      <w:pPr>
        <w:jc w:val="left"/>
      </w:pPr>
      <w:r>
        <w:rPr>
          <w:b/>
        </w:rPr>
        <w:t>Bezug:</w:t>
      </w:r>
      <w:r>
        <w:t xml:space="preserve"> §§ 26, 27 ProdSG; Marktüberwachungs-VO (EU) 2019/1020</w:t>
      </w:r>
    </w:p>
    <w:p/>
    <w:p>
      <w:pPr>
        <w:pStyle w:val="Heading2"/>
      </w:pPr>
      <w:r>
        <w:rPr>
          <w:rFonts w:ascii="Times New Roman" w:hAnsi="Times New Roman"/>
        </w:rPr>
        <w:t>1. BNetzA-Anhörungsschreiben vom 17. Januar 2026</w:t>
      </w:r>
    </w:p>
    <w:p>
      <w:pPr>
        <w:jc w:val="left"/>
      </w:pPr>
      <w:r>
        <w:t>Die Bundesnetzagentur, Referat Produktsicherheit/Marktüberwachung, übersandte am 17. Januar 2026 ein Anhörungsschreiben an Frischwind Mobility GmbH (Eingang 19.01.2026). Inhalt:</w:t>
      </w:r>
    </w:p>
    <w:p>
      <w:pPr>
        <w:pStyle w:val="ListBullet"/>
      </w:pPr>
      <w:r>
        <w:t>Hinweis auf drei bekannte Brandvorfälle (Köpenick, Leipzig, Stuttgart)</w:t>
      </w:r>
    </w:p>
    <w:p>
      <w:pPr>
        <w:pStyle w:val="ListBullet"/>
      </w:pPr>
      <w:r>
        <w:t>Vorhalt: fehlende RAPEX-Meldung trotz bekannter Gefährdungslage</w:t>
      </w:r>
    </w:p>
    <w:p>
      <w:pPr>
        <w:pStyle w:val="ListBullet"/>
      </w:pPr>
      <w:r>
        <w:t>Vorhalt: mögliche CE-Konformitätsmängel (Hinweis durch Berliner Feuerwehr an BNetzA)</w:t>
      </w:r>
    </w:p>
    <w:p>
      <w:pPr>
        <w:pStyle w:val="ListBullet"/>
      </w:pPr>
      <w:r>
        <w:t>Ankündigung einer vorläufigen Untersagungsverfügung nach § 26 Abs. 2 ProdSG</w:t>
      </w:r>
    </w:p>
    <w:p>
      <w:pPr>
        <w:pStyle w:val="ListBullet"/>
      </w:pPr>
      <w:r>
        <w:t>Frist zur Stellungnahme: 03. Februar 2026</w:t>
      </w:r>
    </w:p>
    <w:p/>
    <w:p>
      <w:pPr>
        <w:pStyle w:val="Heading2"/>
      </w:pPr>
      <w:r>
        <w:rPr>
          <w:rFonts w:ascii="Times New Roman" w:hAnsi="Times New Roman"/>
        </w:rPr>
        <w:t>2. Stellungnahme Roosendaal (03.02.2026)</w:t>
      </w:r>
    </w:p>
    <w:p>
      <w:pPr>
        <w:jc w:val="left"/>
      </w:pPr>
      <w:r>
        <w:t>RA Roosendaal übermittelte fristgerecht eine schriftliche Stellungnahme:</w:t>
      </w:r>
    </w:p>
    <w:p>
      <w:pPr>
        <w:jc w:val="left"/>
      </w:pPr>
      <w:r>
        <w:rPr>
          <w:b/>
        </w:rPr>
        <w:t>Kernargumente:</w:t>
      </w:r>
    </w:p>
    <w:p>
      <w:pPr>
        <w:pStyle w:val="ListNumber"/>
      </w:pPr>
      <w:r>
        <w:rPr>
          <w:b/>
        </w:rPr>
        <w:t>Bitte um Fristverlängerung für RAPEX-Meldung:</w:t>
      </w:r>
      <w:r>
        <w:t xml:space="preserve"> Der externe Sachverständige (Prof. Schellberg) könne erst am 14.02.2026 sein Gutachten abliefern. Erst dann sei eine vollständige und korrekte RAPEX-Meldung möglich.</w:t>
      </w:r>
    </w:p>
    <w:p>
      <w:pPr>
        <w:pStyle w:val="ListNumber"/>
      </w:pPr>
      <w:r>
        <w:rPr>
          <w:b/>
        </w:rPr>
        <w:t>Rückruf läuft bereits:</w:t>
      </w:r>
      <w:r>
        <w:t xml:space="preserve"> Frischwind hat am 28.01.2026 den freiwilligen Rückruf aller Wind-X7 beschlossen und am 05.02.2026 Händleranschreiben versandt. Damit sei die Hauptgefährdung adressiert.</w:t>
      </w:r>
    </w:p>
    <w:p>
      <w:pPr>
        <w:pStyle w:val="ListNumber"/>
      </w:pPr>
      <w:r>
        <w:rPr>
          <w:b/>
        </w:rPr>
        <w:t>Kooperation:</w:t>
      </w:r>
      <w:r>
        <w:t xml:space="preserve"> Vollständige Offenlegung aller internen Qualitätsdokumente, QM-Memos und Vorfallberichte angeboten.</w:t>
      </w:r>
    </w:p>
    <w:p>
      <w:pPr>
        <w:pStyle w:val="ListNumber"/>
      </w:pPr>
      <w:r>
        <w:rPr>
          <w:b/>
        </w:rPr>
        <w:t>Untersagungsverfügung nicht erforderlich:</w:t>
      </w:r>
      <w:r>
        <w:t xml:space="preserve"> Da der Rückruf läuft und keine neuen Einheiten in Verkehr gebracht werden, fehlt der Anlass für eine Untersagungsverfügung. Hilfsweise: Rechtsfolge des § 26 ProdSG ist verhältnismäßig — ein laufender freiwilliger Rückruf ist das mildere, gleich effektive Mittel.</w:t>
      </w:r>
    </w:p>
    <w:p/>
    <w:p>
      <w:pPr>
        <w:pStyle w:val="Heading2"/>
      </w:pPr>
      <w:r>
        <w:rPr>
          <w:rFonts w:ascii="Times New Roman" w:hAnsi="Times New Roman"/>
        </w:rPr>
        <w:t>3. BNetzA-Reaktion (12.02.2026)</w:t>
      </w:r>
    </w:p>
    <w:p>
      <w:pPr>
        <w:jc w:val="left"/>
      </w:pPr>
      <w:r>
        <w:t>BNetzA gewährte Fristverlängerung für RAPEX-Meldung bis 20.02.2026 und sah vorläufig von der Untersagungsverfügung ab, knüpft die endgültige Entscheidung jedoch an:</w:t>
      </w:r>
    </w:p>
    <w:p>
      <w:pPr>
        <w:pStyle w:val="ListBullet"/>
      </w:pPr>
      <w:r>
        <w:t>Eingang vollständige RAPEX-Meldung bis 20.02.2026 ✓ (15.02.2026 eingereicht)</w:t>
      </w:r>
    </w:p>
    <w:p>
      <w:pPr>
        <w:pStyle w:val="ListBullet"/>
      </w:pPr>
      <w:r>
        <w:t>Nachweis, dass alle 4.200 Händler angeschrieben wurden ✓</w:t>
      </w:r>
    </w:p>
    <w:p>
      <w:pPr>
        <w:pStyle w:val="ListBullet"/>
      </w:pPr>
      <w:r>
        <w:t>Vorlage des Sachverständigengutachtens ✓ (14.02.2026)</w:t>
      </w:r>
    </w:p>
    <w:p>
      <w:pPr>
        <w:pStyle w:val="ListBullet"/>
      </w:pPr>
      <w:r>
        <w:t>Monatliche Statusberichte über Rückruffortschritt</w:t>
      </w:r>
    </w:p>
    <w:p/>
    <w:p>
      <w:pPr>
        <w:pStyle w:val="Heading2"/>
      </w:pPr>
      <w:r>
        <w:rPr>
          <w:rFonts w:ascii="Times New Roman" w:hAnsi="Times New Roman"/>
        </w:rPr>
        <w:t>4. Laufende Risiken</w:t>
      </w:r>
    </w:p>
    <w:p>
      <w:pPr>
        <w:pStyle w:val="ListBullet"/>
      </w:pPr>
      <w:r>
        <w:t>BNetzA kann Untersagungsverfügung jederzeit nachholen, wenn Rückruf-Compliance unbefriedigend.</w:t>
      </w:r>
    </w:p>
    <w:p>
      <w:pPr>
        <w:pStyle w:val="ListBullet"/>
      </w:pPr>
      <w:r>
        <w:t>Bußgeldverfahren wegen verspäteter RAPEX-Meldung: Noch nicht förmlich eingeleitet, aber von BNetzA „nicht ausgeschlossen".</w:t>
      </w:r>
    </w:p>
    <w:p>
      <w:pPr>
        <w:pStyle w:val="ListBullet"/>
      </w:pPr>
      <w:r>
        <w:t>BNetzA prüft derzeit, ob der Vorgang an die Staatsanwaltschaft Bonn zur strafrechtlichen Prüfung (§ 39 ProdSG als Ordnungswidrigkeit; ggf. § 26 ProdSG-Straftatbestand) weitergeleitet wird.</w:t>
      </w:r>
    </w:p>
    <w:p/>
    <w:p>
      <w:pPr>
        <w:pStyle w:val="Heading2"/>
      </w:pPr>
      <w:r>
        <w:rPr>
          <w:rFonts w:ascii="Times New Roman" w:hAnsi="Times New Roman"/>
        </w:rPr>
        <w:t>5. Strategie gegenüber BNetzA</w:t>
      </w:r>
    </w:p>
    <w:p>
      <w:pPr>
        <w:pStyle w:val="ListBullet"/>
      </w:pPr>
      <w:r>
        <w:t>Maximale Transparenz und Kooperation (zeigt guten Willen, Bußgeld-Milderung).</w:t>
      </w:r>
    </w:p>
    <w:p>
      <w:pPr>
        <w:pStyle w:val="ListBullet"/>
      </w:pPr>
      <w:r>
        <w:t>Laufende Rückruf-Fortschrittsberichte monatlich.</w:t>
      </w:r>
    </w:p>
    <w:p>
      <w:pPr>
        <w:pStyle w:val="ListBullet"/>
      </w:pPr>
      <w:r>
        <w:t>Proaktive Information über BMS-Redesign V4.3 und geplanten Marktreintritt.</w:t>
      </w:r>
    </w:p>
    <w:p>
      <w:pPr>
        <w:pStyle w:val="ListBullet"/>
      </w:pPr>
      <w:r>
        <w:t>Ziel: Bußgeld auf Mindestbetrag reduzieren; Untersagungsverfügung abwenden.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Dokument-Typ: Behördenkorrespondenz und Strategie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Dokument-Typ: Behördenkorrespondenz und Strategie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