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Produkthaftpflichtversicherung — Schadensanzeige und Deckungsstreit</w:t>
      </w:r>
    </w:p>
    <w:p>
      <w:pPr>
        <w:jc w:val="left"/>
      </w:pPr>
      <w:r>
        <w:rPr>
          <w:b/>
        </w:rPr>
        <w:t>Dokument-Typ:</w:t>
      </w:r>
      <w:r>
        <w:t xml:space="preserve"> Versicherungsrechtliche Analyse</w:t>
      </w:r>
    </w:p>
    <w:p>
      <w:pPr>
        <w:jc w:val="left"/>
      </w:pPr>
      <w:r>
        <w:rPr>
          <w:b/>
        </w:rPr>
        <w:t>AZ Kanzlei:</w:t>
      </w:r>
      <w:r>
        <w:t xml:space="preserve"> MR-2026-0822</w:t>
      </w:r>
    </w:p>
    <w:p>
      <w:pPr>
        <w:jc w:val="left"/>
      </w:pPr>
      <w:r>
        <w:rPr>
          <w:b/>
        </w:rPr>
        <w:t>Versicherer:</w:t>
      </w:r>
      <w:r>
        <w:t xml:space="preserve"> Allianz SE, Betrieb Industriehaftpflicht, München</w:t>
      </w:r>
    </w:p>
    <w:p>
      <w:pPr>
        <w:jc w:val="left"/>
      </w:pPr>
      <w:r>
        <w:rPr>
          <w:b/>
        </w:rPr>
        <w:t>Polizze-Nr.:</w:t>
      </w:r>
      <w:r>
        <w:t xml:space="preserve"> ALZ-IHP-FW-2022-004477</w:t>
      </w:r>
    </w:p>
    <w:p/>
    <w:p>
      <w:pPr>
        <w:pStyle w:val="Heading2"/>
      </w:pPr>
      <w:r>
        <w:rPr>
          <w:rFonts w:ascii="Times New Roman" w:hAnsi="Times New Roman"/>
        </w:rPr>
        <w:t>1. Versicherungsdeckung (Vertrag)</w:t>
      </w:r>
    </w:p>
    <w:p>
      <w:pPr>
        <w:jc w:val="left"/>
      </w:pPr>
      <w:r>
        <w:t>Die Frischwind Mobility GmbH unterhält seit 2022 eine Produkthaftpflichtversicherung bei der Allianz (Industriehaftpflicht). Wesentliche 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Deckungssumme Personenschäden</w:t>
            </w:r>
          </w:p>
        </w:tc>
        <w:tc>
          <w:tcPr>
            <w:tcW w:type="dxa" w:w="4536"/>
          </w:tcPr>
          <w:p>
            <w:r>
              <w:rPr>
                <w:rFonts w:ascii="Times New Roman" w:hAnsi="Times New Roman"/>
                <w:sz w:val="20"/>
              </w:rPr>
              <w:t>5 Mio. EUR je Schadenfall</w:t>
            </w:r>
          </w:p>
        </w:tc>
      </w:tr>
      <w:tr>
        <w:tc>
          <w:tcPr>
            <w:tcW w:type="dxa" w:w="4536"/>
          </w:tcPr>
          <w:p>
            <w:r>
              <w:rPr>
                <w:rFonts w:ascii="Times New Roman" w:hAnsi="Times New Roman"/>
                <w:sz w:val="20"/>
              </w:rPr>
              <w:t>Deckungssumme Sachschäden</w:t>
            </w:r>
          </w:p>
        </w:tc>
        <w:tc>
          <w:tcPr>
            <w:tcW w:type="dxa" w:w="4536"/>
          </w:tcPr>
          <w:p>
            <w:r>
              <w:rPr>
                <w:rFonts w:ascii="Times New Roman" w:hAnsi="Times New Roman"/>
                <w:sz w:val="20"/>
              </w:rPr>
              <w:t>2 Mio. EUR je Schadenfall</w:t>
            </w:r>
          </w:p>
        </w:tc>
      </w:tr>
      <w:tr>
        <w:tc>
          <w:tcPr>
            <w:tcW w:type="dxa" w:w="4536"/>
          </w:tcPr>
          <w:p>
            <w:r>
              <w:rPr>
                <w:rFonts w:ascii="Times New Roman" w:hAnsi="Times New Roman"/>
                <w:sz w:val="20"/>
              </w:rPr>
              <w:t>Rückrufkosten (mitversichert)</w:t>
            </w:r>
          </w:p>
        </w:tc>
        <w:tc>
          <w:tcPr>
            <w:tcW w:type="dxa" w:w="4536"/>
          </w:tcPr>
          <w:p>
            <w:r>
              <w:rPr>
                <w:rFonts w:ascii="Times New Roman" w:hAnsi="Times New Roman"/>
                <w:sz w:val="20"/>
              </w:rPr>
              <w:t>Bis 500.000 EUR (Sublimit)</w:t>
            </w:r>
          </w:p>
        </w:tc>
      </w:tr>
      <w:tr>
        <w:tc>
          <w:tcPr>
            <w:tcW w:type="dxa" w:w="4536"/>
          </w:tcPr>
          <w:p>
            <w:r>
              <w:rPr>
                <w:rFonts w:ascii="Times New Roman" w:hAnsi="Times New Roman"/>
                <w:sz w:val="20"/>
              </w:rPr>
              <w:t>Jahreshöchstleistung</w:t>
            </w:r>
          </w:p>
        </w:tc>
        <w:tc>
          <w:tcPr>
            <w:tcW w:type="dxa" w:w="4536"/>
          </w:tcPr>
          <w:p>
            <w:r>
              <w:rPr>
                <w:rFonts w:ascii="Times New Roman" w:hAnsi="Times New Roman"/>
                <w:sz w:val="20"/>
              </w:rPr>
              <w:t>10 Mio. EUR</w:t>
            </w:r>
          </w:p>
        </w:tc>
      </w:tr>
      <w:tr>
        <w:tc>
          <w:tcPr>
            <w:tcW w:type="dxa" w:w="4536"/>
          </w:tcPr>
          <w:p>
            <w:r>
              <w:rPr>
                <w:rFonts w:ascii="Times New Roman" w:hAnsi="Times New Roman"/>
                <w:sz w:val="20"/>
              </w:rPr>
              <w:t>Selbstbehalt</w:t>
            </w:r>
          </w:p>
        </w:tc>
        <w:tc>
          <w:tcPr>
            <w:tcW w:type="dxa" w:w="4536"/>
          </w:tcPr>
          <w:p>
            <w:r>
              <w:rPr>
                <w:rFonts w:ascii="Times New Roman" w:hAnsi="Times New Roman"/>
                <w:sz w:val="20"/>
              </w:rPr>
              <w:t>15.000 EUR je Schadenfall</w:t>
            </w:r>
          </w:p>
        </w:tc>
      </w:tr>
      <w:tr>
        <w:tc>
          <w:tcPr>
            <w:tcW w:type="dxa" w:w="4536"/>
          </w:tcPr>
          <w:p>
            <w:r>
              <w:rPr>
                <w:rFonts w:ascii="Times New Roman" w:hAnsi="Times New Roman"/>
                <w:sz w:val="20"/>
              </w:rPr>
              <w:t>Laufzeit</w:t>
            </w:r>
          </w:p>
        </w:tc>
        <w:tc>
          <w:tcPr>
            <w:tcW w:type="dxa" w:w="4536"/>
          </w:tcPr>
          <w:p>
            <w:r>
              <w:rPr>
                <w:rFonts w:ascii="Times New Roman" w:hAnsi="Times New Roman"/>
                <w:sz w:val="20"/>
              </w:rPr>
              <w:t>01.01.2022 – 31.12.2026</w:t>
            </w:r>
          </w:p>
        </w:tc>
      </w:tr>
    </w:tbl>
    <w:p/>
    <w:p>
      <w:pPr>
        <w:pStyle w:val="Heading2"/>
      </w:pPr>
      <w:r>
        <w:rPr>
          <w:rFonts w:ascii="Times New Roman" w:hAnsi="Times New Roman"/>
        </w:rPr>
        <w:t>2. Schadensanzeige Frischwind (28.01.2026)</w:t>
      </w:r>
    </w:p>
    <w:p>
      <w:pPr>
        <w:jc w:val="left"/>
      </w:pPr>
      <w:r>
        <w:t>Die formelle Schadensanzeige wurde am 28. Januar 2026 per Einschreiben an die Allianz Industriehaftpflicht gesandt. Angezeigt wurden:</w:t>
      </w:r>
    </w:p>
    <w:p>
      <w:pPr>
        <w:pStyle w:val="ListBullet"/>
      </w:pPr>
      <w:r>
        <w:t>Vorfall 1: Köpenick — Personenschaden Raskolnikow, Sachschaden 382.000 EUR</w:t>
      </w:r>
    </w:p>
    <w:p>
      <w:pPr>
        <w:pStyle w:val="ListBullet"/>
      </w:pPr>
      <w:r>
        <w:t>Vorfall 2: Leipzig — Personenschaden Flöttner (gering), Sachschaden ca. 4.500 EUR</w:t>
      </w:r>
    </w:p>
    <w:p>
      <w:pPr>
        <w:pStyle w:val="ListBullet"/>
      </w:pPr>
      <w:r>
        <w:t>Vorfall 3: Stuttgart — Sachschaden ca. 8.200 EUR</w:t>
      </w:r>
    </w:p>
    <w:p>
      <w:pPr>
        <w:pStyle w:val="ListBullet"/>
      </w:pPr>
      <w:r>
        <w:t>Angekündigter Rückruf: Kostenprognose mitgeteilt</w:t>
      </w:r>
    </w:p>
    <w:p/>
    <w:p>
      <w:pPr>
        <w:pStyle w:val="Heading2"/>
      </w:pPr>
      <w:r>
        <w:rPr>
          <w:rFonts w:ascii="Times New Roman" w:hAnsi="Times New Roman"/>
        </w:rPr>
        <w:t>3. Deckungsverweigerung Allianz (12.02.2026)</w:t>
      </w:r>
    </w:p>
    <w:p>
      <w:pPr>
        <w:jc w:val="left"/>
      </w:pPr>
      <w:r>
        <w:t>Die Allianz lehnte mit Schreiben vom 12. Februar 2026 zunächst eine Deckungszusage ab. Begründung:</w:t>
      </w:r>
    </w:p>
    <w:p>
      <w:pPr>
        <w:jc w:val="left"/>
      </w:pPr>
      <w:r>
        <w:rPr>
          <w:b/>
        </w:rPr>
        <w:t>Obliegenheitsverletzung nach § 28 VVG:</w:t>
      </w:r>
    </w:p>
    <w:p>
      <w:pPr>
        <w:jc w:val="left"/>
      </w:pPr>
      <w:r>
        <w:t>„Nach § 31 AVB Produkthaftpflicht ist der Versicherungsnehmer verpflichtet, dem Versicherer jeden Schadensfall unverzüglich anzuzeigen. Der erste Brandvorfall ereignete sich am 14. März 2025. Die Schadensanzeige erfolgte am 28. Januar 2026 — rund 10 Monate später. Diese verspätete Anzeige stellt eine grobe Obliegenheitsverletzung i.S.d. § 28 Abs. 2 VVG dar."</w:t>
      </w:r>
    </w:p>
    <w:p>
      <w:pPr>
        <w:jc w:val="left"/>
      </w:pPr>
      <w:r>
        <w:rPr>
          <w:b/>
        </w:rPr>
        <w:t>Wissentliche Pflichtverletzung:</w:t>
      </w:r>
    </w:p>
    <w:p>
      <w:pPr>
        <w:jc w:val="left"/>
      </w:pPr>
      <w:r>
        <w:t>„Darüber hinaus ist nach dem Sachverhalt davon auszugehen, dass Frischwind spätestens ab Dezember 2025 Kenntnis vom Firmware-Defekt hatte und gleichwohl keine Schadensanzeige erstattet und keine Rückrufmaßnahmen eingeleitet hat. Dieses Verhalten begründet den Ausschluss nach Ziff. 4.2 AVB (wissentliche Pflichtverletzung)."</w:t>
      </w:r>
    </w:p>
    <w:p/>
    <w:p>
      <w:pPr>
        <w:pStyle w:val="Heading2"/>
      </w:pPr>
      <w:r>
        <w:rPr>
          <w:rFonts w:ascii="Times New Roman" w:hAnsi="Times New Roman"/>
        </w:rPr>
        <w:t>4. Rechtliche Bewertung des Deckungsstreits</w:t>
      </w:r>
    </w:p>
    <w:p>
      <w:pPr>
        <w:jc w:val="left"/>
      </w:pPr>
      <w:r>
        <w:rPr>
          <w:b/>
        </w:rPr>
        <w:t>§ 28 Abs. 2 VVG:</w:t>
      </w:r>
      <w:r>
        <w:t xml:space="preserve"> Bei grober Obliegenheitsverletzung kann der Versicherer leistungsfrei sein. Allerdings nur, wenn die Obliegenheitsverletzung kausal für den Eintritt oder die Feststellung des Versicherungsfalls war. Hier ist streitig, ob eine frühere Anzeige an der Schadenshöhe etwas geändert hätte.</w:t>
      </w:r>
    </w:p>
    <w:p>
      <w:pPr>
        <w:jc w:val="left"/>
      </w:pPr>
      <w:r>
        <w:rPr>
          <w:b/>
        </w:rPr>
        <w:t>Gegenargument Roosendaal:</w:t>
      </w:r>
    </w:p>
    <w:p>
      <w:pPr>
        <w:pStyle w:val="ListBullet"/>
      </w:pPr>
      <w:r>
        <w:t>Vorfall 1 war nach dem Brandermittlungsbericht zunächst ungeklärt; der BMS-Bug als Ursache wurde erst durch das Sachverständigengutachten vom 14.02.2026 sicher festgestellt.</w:t>
      </w:r>
    </w:p>
    <w:p>
      <w:pPr>
        <w:pStyle w:val="ListBullet"/>
      </w:pPr>
      <w:r>
        <w:t>Die Verspätung ist damit nicht grob fahrlässig, sondern nachvollziehbar.</w:t>
      </w:r>
    </w:p>
    <w:p>
      <w:pPr>
        <w:pStyle w:val="ListBullet"/>
      </w:pPr>
      <w:r>
        <w:t>Die Kausalität der Obliegenheitsverletzung für den Schaden fehlt.</w:t>
      </w:r>
    </w:p>
    <w:p>
      <w:pPr>
        <w:jc w:val="left"/>
      </w:pPr>
      <w:r>
        <w:rPr>
          <w:b/>
        </w:rPr>
        <w:t>Nächste Schritte:</w:t>
      </w:r>
    </w:p>
    <w:p>
      <w:pPr>
        <w:pStyle w:val="ListBullet"/>
      </w:pPr>
      <w:r>
        <w:t>Widerspruchsschreiben Roosendaal an Allianz mit Rechtsargumenten.</w:t>
      </w:r>
    </w:p>
    <w:p>
      <w:pPr>
        <w:pStyle w:val="ListBullet"/>
      </w:pPr>
      <w:r>
        <w:t>Falls keine gütliche Einigung: Deckungsklage vor LG Stuttgart.</w:t>
      </w:r>
    </w:p>
    <w:p>
      <w:pPr>
        <w:pStyle w:val="ListBullet"/>
      </w:pPr>
      <w:r>
        <w:t>Parallel: Prüfung, ob Allianz-Makler (Keller Versicherungsmakler GmbH, Erfurt) seinerseits eine Beratungspflichtverletzung zu verantworten hat.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Allianz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Allianz SE</w:t>
    </w:r>
  </w:p>
  <w:p>
    <w:pPr>
      <w:jc w:val="left"/>
      <w:pBdr>
        <w:bottom w:val="single" w:sz="6" w:space="2" w:color="8A6A1F"/>
      </w:pBdr>
    </w:pPr>
    <w:r>
      <w:rPr>
        <w:rFonts w:ascii="Times New Roman" w:hAnsi="Times New Roman"/>
        <w:color w:val="6B6B66"/>
        <w:sz w:val="16"/>
      </w:rPr>
      <w:t>Betrieb Industriehaftpflicht, München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