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Strafverfahren StA Erfurt 188 Js 4711/26 — § 229 StGB</w:t>
      </w:r>
    </w:p>
    <w:p>
      <w:pPr>
        <w:jc w:val="left"/>
      </w:pPr>
      <w:r>
        <w:rPr>
          <w:b/>
        </w:rPr>
        <w:t>Dokument-Typ:</w:t>
      </w:r>
      <w:r>
        <w:t xml:space="preserve"> Verfahrensübersicht Strafrecht</w:t>
      </w:r>
    </w:p>
    <w:p>
      <w:pPr>
        <w:jc w:val="left"/>
      </w:pPr>
      <w:r>
        <w:rPr>
          <w:b/>
        </w:rPr>
        <w:t>AZ Kanzlei:</w:t>
      </w:r>
      <w:r>
        <w:t xml:space="preserve"> MR-2026-0822 (koordinierend; Strafverteidigung separat)</w:t>
      </w:r>
    </w:p>
    <w:p>
      <w:pPr>
        <w:jc w:val="left"/>
      </w:pPr>
      <w:r>
        <w:rPr>
          <w:b/>
        </w:rPr>
        <w:t>AZ StA Erfurt:</w:t>
      </w:r>
      <w:r>
        <w:t xml:space="preserve"> 188 Js 4711/26</w:t>
      </w:r>
    </w:p>
    <w:p>
      <w:pPr>
        <w:jc w:val="left"/>
      </w:pPr>
      <w:r>
        <w:rPr>
          <w:b/>
        </w:rPr>
        <w:t>Beschuldigte:</w:t>
      </w:r>
      <w:r>
        <w:t xml:space="preserve"> Dr. Ilse Pohlmann-Wittfeldt (CTO Frischwind Mobility GmbH)</w:t>
      </w:r>
    </w:p>
    <w:p/>
    <w:p>
      <w:pPr>
        <w:pStyle w:val="Heading2"/>
      </w:pPr>
      <w:r>
        <w:rPr>
          <w:rFonts w:ascii="Times New Roman" w:hAnsi="Times New Roman"/>
        </w:rPr>
        <w:t>1. Verfahrenseröffnung</w:t>
      </w:r>
    </w:p>
    <w:p>
      <w:pPr>
        <w:jc w:val="left"/>
      </w:pPr>
      <w:r>
        <w:t>Am 15. Januar 2026 eröffnete die Staatsanwaltschaft Erfurt ein Ermittlungsverfahren gegen Dr. Ilse Pohlmann-Wittfeldt, CTO der Frischwind Mobility GmbH, wegen des Verdachts der fahrlässigen Körperverletzung (§ 229 StGB) zum Nachteil von Bogdan Raskolnikow.</w:t>
      </w:r>
    </w:p>
    <w:p>
      <w:pPr>
        <w:jc w:val="left"/>
      </w:pPr>
      <w:r>
        <w:t>Die Anzeige wurde erstattet von RA Torsten Blickle (Berlin) im Namen von Herrn Raskolnikow am 09. Januar 2026. Zur Begründung wurde auf den Brandvorfall vom 14.03.2025 (Köpenick), den bekannten BMS-Firmware-Bug und die unterlassene RAPEX-Meldung verwiesen.</w:t>
      </w:r>
    </w:p>
    <w:p/>
    <w:p>
      <w:pPr>
        <w:pStyle w:val="Heading2"/>
      </w:pPr>
      <w:r>
        <w:rPr>
          <w:rFonts w:ascii="Times New Roman" w:hAnsi="Times New Roman"/>
        </w:rPr>
        <w:t>2. Tatbestand § 229 StGB — Analyse</w:t>
      </w:r>
    </w:p>
    <w:p>
      <w:pPr>
        <w:pStyle w:val="Heading3"/>
      </w:pPr>
      <w:r>
        <w:rPr>
          <w:rFonts w:ascii="Times New Roman" w:hAnsi="Times New Roman"/>
        </w:rPr>
        <w:t>2.1 Objektiver Tatbestand</w:t>
      </w:r>
    </w:p>
    <w:p>
      <w:pPr>
        <w:jc w:val="left"/>
      </w:pPr>
      <w:r>
        <w:t>§ 229 StGB setzt voraus:</w:t>
      </w:r>
    </w:p>
    <w:p>
      <w:pPr>
        <w:pStyle w:val="ListBullet"/>
      </w:pPr>
      <w:r>
        <w:rPr>
          <w:b/>
        </w:rPr>
        <w:t>Handlung oder Unterlassen:</w:t>
      </w:r>
      <w:r>
        <w:t xml:space="preserve"> Als CTO trug Dr. Pohlmann-Wittfeldt die fachliche Verantwortung für Produktsicherheit, BMS-Validierung und RAPEX-Compliance. Das Unterlassen der RAPEX-Meldung und der Rückrufentscheidung nach Vorfall 1 ist ein relevantes Unterlassen.</w:t>
      </w:r>
    </w:p>
    <w:p>
      <w:pPr>
        <w:pStyle w:val="ListBullet"/>
      </w:pPr>
      <w:r>
        <w:rPr>
          <w:b/>
        </w:rPr>
        <w:t>Körperverletzungserfolg:</w:t>
      </w:r>
      <w:r>
        <w:t xml:space="preserve"> Schwere Rauchgasvergiftung Raskolnikow (Carboxyhämoglobin 28 %, 3 Tage Intensivstation, chronisches Asthma) — eindeutig.</w:t>
      </w:r>
    </w:p>
    <w:p>
      <w:pPr>
        <w:pStyle w:val="ListBullet"/>
      </w:pPr>
      <w:r>
        <w:rPr>
          <w:b/>
        </w:rPr>
        <w:t>Kausalität:</w:t>
      </w:r>
      <w:r>
        <w:t xml:space="preserve"> Äquivalenzkausalität liegt vor; hätte Dr. Pohlmann-Wittfeldt nach Vorfall 1 sofortige Rückrufmaßnahmen eingeleitet, wäre Vorfall 1 bei Raskolnikow bereits eingetreten. Für zukünftige Vorfälle (2 und 3) wäre Kausalität klarer.</w:t>
      </w:r>
    </w:p>
    <w:p>
      <w:pPr>
        <w:jc w:val="left"/>
      </w:pPr>
      <w:r>
        <w:rPr>
          <w:b/>
        </w:rPr>
        <w:t>Hinweis:</w:t>
      </w:r>
      <w:r>
        <w:t xml:space="preserve"> Vorfall 1 (Köpenick) ist zeitlich VOR der sicheren Kenntnis des BMS-Bugs (Dezember 2025). Die Staatsanwaltschaft muss darlegen, dass Dr. Pohlmann-Wittfeldt bereits im März 2025 von der Gefährlichkeit hätte wissen müssen (Sorgfaltspflichtverletzung ex ante).</w:t>
      </w:r>
    </w:p>
    <w:p>
      <w:pPr>
        <w:pStyle w:val="Heading3"/>
      </w:pPr>
      <w:r>
        <w:rPr>
          <w:rFonts w:ascii="Times New Roman" w:hAnsi="Times New Roman"/>
        </w:rPr>
        <w:t>2.2 Subjektiver Tatbestand — Fahrlässigkeit</w:t>
      </w:r>
    </w:p>
    <w:p>
      <w:pPr>
        <w:jc w:val="left"/>
      </w:pPr>
      <w:r>
        <w:t>Fahrlässigkeit (§ 15 StGB): Dr. Pohlmann-Wittfeldt muss die im Verkehr erforderliche Sorgfalt außer Acht gelassen haben, obwohl sie den Erfolg voraussehen konnte und musste.</w:t>
      </w:r>
    </w:p>
    <w:p>
      <w:pPr>
        <w:jc w:val="left"/>
      </w:pPr>
      <w:r>
        <w:rPr>
          <w:b/>
        </w:rPr>
        <w:t>Für Fahrlässigkeit sprechend:</w:t>
      </w:r>
    </w:p>
    <w:p>
      <w:pPr>
        <w:pStyle w:val="ListBullet"/>
      </w:pPr>
      <w:r>
        <w:t>Nach Vorfall 1 hätte eine CTO die sofortige Ursachenanalyse veranlassen und bei unklärer Ursache den Vertrieb stoppen müssen.</w:t>
      </w:r>
    </w:p>
    <w:p>
      <w:pPr>
        <w:pStyle w:val="ListBullet"/>
      </w:pPr>
      <w:r>
        <w:t>Das interne QM-Memo Dezember 2025 zeigt, dass zumindest intern ab diesem Zeitpunkt Kenntnis vom Bug bestand — keine sofortige Handlung folgte.</w:t>
      </w:r>
    </w:p>
    <w:p>
      <w:pPr>
        <w:pStyle w:val="ListBullet"/>
      </w:pPr>
      <w:r>
        <w:t>Versäumnis der RAPEX-Meldung trotz gesetzlicher Pflicht.</w:t>
      </w:r>
    </w:p>
    <w:p>
      <w:pPr>
        <w:jc w:val="left"/>
      </w:pPr>
      <w:r>
        <w:rPr>
          <w:b/>
        </w:rPr>
        <w:t>Gegen Fahrlässigkeit / Strafbarkeit sprechend:</w:t>
      </w:r>
    </w:p>
    <w:p>
      <w:pPr>
        <w:pStyle w:val="ListBullet"/>
      </w:pPr>
      <w:r>
        <w:t>Vorfall 1 wurde intern zunächst als Einzelfall eingestuft; ohne mehrere Vorfälle fehlte die sichere Kenntnis einer Serienproblematik.</w:t>
      </w:r>
    </w:p>
    <w:p>
      <w:pPr>
        <w:pStyle w:val="ListBullet"/>
      </w:pPr>
      <w:r>
        <w:t>Die eigentliche Ursachenermittlung (BMS-Bug) erforderte ein aufwendiges Sachverständigengutachten.</w:t>
      </w:r>
    </w:p>
    <w:p>
      <w:pPr>
        <w:pStyle w:val="ListBullet"/>
      </w:pPr>
      <w:r>
        <w:t>Dr. Pohlmann-Wittfeldt hat nach Kenntnis im Dezember 2025/Januar 2026 unverzüglich die Kanzlei Roosendaal mandatiert und den Rückruf eingeleitet.</w:t>
      </w:r>
    </w:p>
    <w:p/>
    <w:p>
      <w:pPr>
        <w:pStyle w:val="Heading2"/>
      </w:pPr>
      <w:r>
        <w:rPr>
          <w:rFonts w:ascii="Times New Roman" w:hAnsi="Times New Roman"/>
        </w:rPr>
        <w:t>3. Koordination mit Strafverteidigerin</w:t>
      </w:r>
    </w:p>
    <w:p>
      <w:pPr>
        <w:jc w:val="left"/>
      </w:pPr>
      <w:r>
        <w:t>Für das Strafverfahren wurde separat RAin Dr. Miriam Löwenthal (Fachanwältin für Strafrecht, Stuttgart) mandatiert. RA Roosendaal koordiniert mit ihr, insbesondere:</w:t>
      </w:r>
    </w:p>
    <w:p>
      <w:pPr>
        <w:pStyle w:val="ListBullet"/>
      </w:pPr>
      <w:r>
        <w:t>Abstimmung der Aussagen: Dr. Pohlmann-Wittfeldt macht von ihrem Schweigerecht Gebrauch (§ 136 StPO).</w:t>
      </w:r>
    </w:p>
    <w:p>
      <w:pPr>
        <w:pStyle w:val="ListBullet"/>
      </w:pPr>
      <w:r>
        <w:t>Keine Überschneidung bei der Akteneinsicht.</w:t>
      </w:r>
    </w:p>
    <w:p>
      <w:pPr>
        <w:pStyle w:val="ListBullet"/>
      </w:pPr>
      <w:r>
        <w:t>Schutz unternehmensinterner Dokumente vor staatsanwaltlicher Beschlagnahme (§ 97 StPO, Anwaltsprivileg).</w:t>
      </w:r>
    </w:p>
    <w:p/>
    <w:p>
      <w:pPr>
        <w:pStyle w:val="Heading2"/>
      </w:pPr>
      <w:r>
        <w:rPr>
          <w:rFonts w:ascii="Times New Roman" w:hAnsi="Times New Roman"/>
        </w:rPr>
        <w:t>4. Verfahrensstand März 2026</w:t>
      </w:r>
    </w:p>
    <w:p>
      <w:pPr>
        <w:pStyle w:val="ListBullet"/>
      </w:pPr>
      <w:r>
        <w:t>Akteneinsicht beantragt und teilweise gewährt (Vorwürfe, Anzeige, Brandbericht).</w:t>
      </w:r>
    </w:p>
    <w:p>
      <w:pPr>
        <w:pStyle w:val="ListBullet"/>
      </w:pPr>
      <w:r>
        <w:t>Staatsanwaltschaft hat technisches Sachverständigengutachten in Auftrag gegeben (paralleles Gutachten neben Frischwind-eigenem Gutachten Prof. Schellberg).</w:t>
      </w:r>
    </w:p>
    <w:p>
      <w:pPr>
        <w:pStyle w:val="ListBullet"/>
      </w:pPr>
      <w:r>
        <w:t>Durchsuchung Firmengebäude Erfurt am 25.01.2026 (Sicherstellung: Computer CTO, interne QM-Dokumente, Firmwareversionen).</w:t>
      </w:r>
    </w:p>
    <w:p>
      <w:pPr>
        <w:pStyle w:val="ListBullet"/>
      </w:pPr>
      <w:r>
        <w:t>Vorläufige Einschätzung: Einstellung nach § 153a StPO (Auflage) möglich, wenn Rückruf und Entschädigungen erfolgreich abgewickelt.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CTO Frischwind Mobility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CTO Frischwind Mobility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188 Js 4711/26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