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32"/>
          <w:szCs w:val="32"/>
        </w:rPr>
        <w:t xml:space="preserve">Frischwind Mobility GmbH</w:t>
      </w:r>
    </w:p>
    <w:p>
      <w:r>
        <w:rPr>
          <w:rFonts w:ascii="Calibri" w:cs="Calibri" w:eastAsia="Calibri" w:hAnsi="Calibri"/>
          <w:b/>
          <w:bCs/>
          <w:sz w:val="28"/>
          <w:szCs w:val="28"/>
        </w:rPr>
        <w:t xml:space="preserve">Produktrückruf-Konzept — Wind-X7 Pedelec</w:t>
      </w:r>
    </w:p>
    <w:p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Vertraulich — Kanzlei MR-2026-0822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t xml:space="preserve">1. Rückruf-Entscheidung und Rechtsgrundlage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Der Krisenstab der Frischwind Mobility GmbH hat am 28. Januar 2026 einstimmig den freiwilligen Rückruf aller Wind-X7 Pedelecs aller Baujahre und Varianten beschlossen. Rechtsgrundlage: § 26 Abs. 1 ProdSG sowie Art. 20 Abs. 1 Marktüberwachungs-VO (EU) 2019/1020.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Ursache: BMS-Firmware-Bug V3.9.1 verursacht bei Umgebungstemperaturen &gt; 38 °C und Schnellladung einen unkontrollierten Ladevorgang (Integer-Overflow im Temperatur-Interrupt-Handler), der zu thermischem Durchgehen der NMC-Zellen und Brandgefahr führt.</w:t>
      </w:r>
    </w:p>
    <w:p>
      <w:pPr>
        <w:pStyle w:val="Heading1"/>
        <w:spacing w:after="120" w:before="240"/>
      </w:pPr>
      <w:r>
        <w:t xml:space="preserve">2. Betroffene Produkte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Modell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Varianten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Produktionszeitraum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Einheiten (geschätzt)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Wind-X7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S, M, L, XL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März 2023 – Dezember 2025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ca. 4.200</w:t>
            </w:r>
          </w:p>
        </w:tc>
      </w:tr>
      <w:tr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Wind-X7 Pro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M, L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Juni 2023 – Dezember 2025</w:t>
            </w:r>
          </w:p>
        </w:tc>
        <w:tc>
          <w:tcPr>
            <w:tcW w:type="dxa" w:w="25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 Gesamtzahl enthalten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t xml:space="preserve">3. Rückrufmaßnahmen</w:t>
      </w:r>
    </w:p>
    <w:p>
      <w:pPr>
        <w:pStyle w:val="Heading2"/>
        <w:spacing w:after="100" w:before="200"/>
      </w:pPr>
      <w:r>
        <w:t xml:space="preserve">3.1 Phase 1 — Händler (ab 05.02.2026)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Alle 48 Vertragshändler in DE/AT/CH wurden per Einschreiben/Rückschein informiert. Inhalt: sofortiger Verkaufsstopp, Sicherstellung lagernd. Rücksendelogistik auf Kosten Frischwind.</w:t>
      </w:r>
    </w:p>
    <w:p>
      <w:pPr>
        <w:pStyle w:val="Heading2"/>
        <w:spacing w:after="100" w:before="200"/>
      </w:pPr>
      <w:r>
        <w:t xml:space="preserve">3.2 Phase 2 — Endkunden (ab 10.02.2026)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Direkte Kundenanschreiben an 3.408 registrierte Kunden per E-Mail. Postsendung für nicht-registrierte Kunden. Hotline 0800-FRISCHWIND (kostenfrei, Mo–Fr 08–18 Uhr).</w:t>
      </w:r>
    </w:p>
    <w:p>
      <w:pPr>
        <w:pStyle w:val="Heading2"/>
        <w:spacing w:after="100" w:before="200"/>
      </w:pPr>
      <w:r>
        <w:t xml:space="preserve">3.3 Phase 3 — Rücknahme und Entschädigung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Rückgabe-Standorte: 48 Vertragshändler + Werk Erfurt. Entschädigungsoptionen: (a) Vollrückerstattung Kaufpreis oder (b) Gutschein für Wind-X8 + 200 EUR Bonus.</w:t>
      </w:r>
    </w:p>
    <w:p>
      <w:pPr>
        <w:pStyle w:val="Heading1"/>
        <w:spacing w:after="120" w:before="240"/>
      </w:pPr>
      <w:r>
        <w:t xml:space="preserve">4. Kostenprognose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Kostenposition</w:t>
            </w:r>
          </w:p>
        </w:tc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Schätzung (EUR)</w:t>
            </w:r>
          </w:p>
        </w:tc>
      </w:tr>
      <w:tr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Logistik Rücktransport</w:t>
            </w:r>
          </w:p>
        </w:tc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420.000</w:t>
            </w:r>
          </w:p>
        </w:tc>
      </w:tr>
      <w:tr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Kaufpreiserstattungen (70 %)</w:t>
            </w:r>
          </w:p>
        </w:tc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11.732.000</w:t>
            </w:r>
          </w:p>
        </w:tc>
      </w:tr>
      <w:tr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Gutschein-Differenz (30 %)</w:t>
            </w:r>
          </w:p>
        </w:tc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1.200.000</w:t>
            </w:r>
          </w:p>
        </w:tc>
      </w:tr>
      <w:tr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Personal/Hotline</w:t>
            </w:r>
          </w:p>
        </w:tc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180.000</w:t>
            </w:r>
          </w:p>
        </w:tc>
      </w:tr>
      <w:tr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Rechts-/Gutachterkosten</w:t>
            </w:r>
          </w:p>
        </w:tc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280.000</w:t>
            </w:r>
          </w:p>
        </w:tc>
      </w:tr>
      <w:tr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Kommunikationskosten</w:t>
            </w:r>
          </w:p>
        </w:tc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120.000</w:t>
            </w:r>
          </w:p>
        </w:tc>
      </w:tr>
      <w:tr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Gesamt (geschätzt)</w:t>
            </w:r>
          </w:p>
        </w:tc>
        <w:tc>
          <w:tcPr>
            <w:tcW w:type="dxa" w:w="50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13.932.000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t xml:space="preserve">5. Zuständigkeiten und Zeitplan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Gesamtverantwortung: GF Sven Frischwind. Händlerkommunikation: CCO Marc Lattermann. Logistik: Qualitätsleitung Thomas Gäbler. Rechtsbegleitung: Roosendaal Rechtsanwälte (AZ MR-2026-0822).</w:t>
      </w:r>
    </w:p>
    <w:p>
      <w:pPr>
        <w:pStyle w:val="Heading1"/>
        <w:spacing w:after="120" w:before="240"/>
      </w:pPr>
      <w:r>
        <w:t xml:space="preserve">6. Quellenhinweis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ProdSG § 26 (Rücknahme/Rückruf): https://www.gesetze-im-internet.de/prodsg_2021/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Marktüberwachungs-VO (EU) 2019/1020 Art. 20: https://eur-lex.europa.eu/legal-content/DE/TXT/?uri=CELEX:32019R1020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Frischwind Mobility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4"/>
      </w:rPr>
      <w:t>Frischwind Mobility GmbH</w:t>
    </w:r>
  </w:p>
  <w:p>
    <w:pPr>
      <w:jc w:val="left"/>
      <w:pBdr>
        <w:bottom w:val="single" w:sz="6" w:space="2" w:color="1F3864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2026-05-30T20:13:28.525Z</dcterms:created>
  <dcterms:modified xsi:type="dcterms:W3CDTF">2026-05-30T20:13:28.525Z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