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6"/>
        </w:rPr>
        <w:t>FREISTAAT BAYERN</w:t>
      </w:r>
    </w:p>
    <w:p>
      <w:pPr>
        <w:jc w:val="center"/>
      </w:pPr>
      <w:r>
        <w:rPr>
          <w:b/>
          <w:color w:val="23364D"/>
          <w:sz w:val="30"/>
        </w:rPr>
        <w:t>LANDGERICHT REGENSBURG</w:t>
      </w:r>
    </w:p>
    <w:p>
      <w:pPr>
        <w:jc w:val="center"/>
      </w:pPr>
      <w:r>
        <w:rPr>
          <w:sz w:val="18"/>
        </w:rPr>
        <w:t>4. Zivilkammer | Augustenstraße 5 | 93049 Regensburg</w:t>
      </w:r>
    </w:p>
    <w:tbl>
      <w:tblPr>
        <w:tblW w:type="auto" w:w="0"/>
        <w:jc w:val="right"/>
        <w:tblLayout w:type="fixed"/>
        <w:tblLook w:firstColumn="1" w:firstRow="1" w:lastColumn="0" w:lastRow="0" w:noHBand="0" w:noVBand="1" w:val="04A0"/>
      </w:tblPr>
      <w:tblGrid>
        <w:gridCol w:w="4719"/>
        <w:gridCol w:w="4719"/>
      </w:tblGrid>
      <w:tr>
        <w:tc>
          <w:tcPr>
            <w:tcW w:type="dxa" w:w="2381"/>
            <w:tcMar>
              <w:top w:w="45" w:type="dxa"/>
              <w:start w:w="70" w:type="dxa"/>
              <w:bottom w:w="45" w:type="dxa"/>
              <w:end w:w="70" w:type="dxa"/>
            </w:tcMar>
          </w:tcPr>
          <w:p>
            <w:r>
              <w:rPr>
                <w:b/>
                <w:sz w:val="18"/>
              </w:rPr>
              <w:t>Aktenzeichen</w:t>
            </w:r>
          </w:p>
        </w:tc>
        <w:tc>
          <w:tcPr>
            <w:tcW w:type="dxa" w:w="6520"/>
            <w:tcMar>
              <w:top w:w="45" w:type="dxa"/>
              <w:start w:w="70" w:type="dxa"/>
              <w:bottom w:w="45" w:type="dxa"/>
              <w:end w:w="70" w:type="dxa"/>
            </w:tcMar>
          </w:tcPr>
          <w:p>
            <w:r>
              <w:rPr>
                <w:sz w:val="18"/>
              </w:rPr>
              <w:t>4 O 1287/24</w:t>
            </w:r>
          </w:p>
        </w:tc>
      </w:tr>
      <w:tr>
        <w:tc>
          <w:tcPr>
            <w:tcW w:type="dxa" w:w="2381"/>
            <w:tcMar>
              <w:top w:w="45" w:type="dxa"/>
              <w:start w:w="70" w:type="dxa"/>
              <w:bottom w:w="45" w:type="dxa"/>
              <w:end w:w="70" w:type="dxa"/>
            </w:tcMar>
          </w:tcPr>
          <w:p>
            <w:r>
              <w:rPr>
                <w:b/>
                <w:sz w:val="18"/>
              </w:rPr>
              <w:t>Geschäftsstelle</w:t>
            </w:r>
          </w:p>
        </w:tc>
        <w:tc>
          <w:tcPr>
            <w:tcW w:type="dxa" w:w="6520"/>
            <w:tcMar>
              <w:top w:w="45" w:type="dxa"/>
              <w:start w:w="70" w:type="dxa"/>
              <w:bottom w:w="45" w:type="dxa"/>
              <w:end w:w="70" w:type="dxa"/>
            </w:tcMar>
          </w:tcPr>
          <w:p>
            <w:r>
              <w:rPr>
                <w:sz w:val="18"/>
              </w:rPr>
              <w:t>Protokollführerin Justizbeschäftigte Pia Neumann</w:t>
            </w:r>
          </w:p>
        </w:tc>
      </w:tr>
      <w:tr>
        <w:tc>
          <w:tcPr>
            <w:tcW w:type="dxa" w:w="2381"/>
            <w:tcMar>
              <w:top w:w="45" w:type="dxa"/>
              <w:start w:w="70" w:type="dxa"/>
              <w:bottom w:w="45" w:type="dxa"/>
              <w:end w:w="70" w:type="dxa"/>
            </w:tcMar>
          </w:tcPr>
          <w:p>
            <w:r>
              <w:rPr>
                <w:b/>
                <w:sz w:val="18"/>
              </w:rPr>
              <w:t>Datum</w:t>
            </w:r>
          </w:p>
        </w:tc>
        <w:tc>
          <w:tcPr>
            <w:tcW w:type="dxa" w:w="6520"/>
            <w:tcMar>
              <w:top w:w="45" w:type="dxa"/>
              <w:start w:w="70" w:type="dxa"/>
              <w:bottom w:w="45" w:type="dxa"/>
              <w:end w:w="70" w:type="dxa"/>
            </w:tcMar>
          </w:tcPr>
          <w:p>
            <w:r>
              <w:rPr>
                <w:sz w:val="18"/>
              </w:rPr>
              <w:t>22. Januar 2026</w:t>
            </w:r>
          </w:p>
        </w:tc>
      </w:tr>
    </w:tbl>
    <w:p/>
    <w:p>
      <w:pPr>
        <w:pStyle w:val="Heading1"/>
      </w:pPr>
      <w:r>
        <w:t>Protokoll der öffentlichen Sitzung</w:t>
      </w:r>
    </w:p>
    <w:p>
      <w:r>
        <w:t>Beginn: 09:32 Uhr | Ende: 11:18 Uhr | Sitzungssaal 4.142</w:t>
      </w:r>
    </w:p>
    <w:p>
      <w:r>
        <w:t>Anwesend für den Kläger: Rechtsanwältin Dr. Miriam Knoblauch. Für die Beklagte: Rechtsanwältin Dr. Helene Burgholz-Krebs. Ferner erschienen: Sachverständiger Dipl.-Ing. Edmund Pfaffenberger und Servicetechniker Karl Saubacher als Parteivertreter der Beklagten.</w:t>
      </w:r>
    </w:p>
    <w:p>
      <w:pPr>
        <w:pStyle w:val="Heading1"/>
      </w:pPr>
      <w:r>
        <w:t>1. Aufruf und Gegenstand</w:t>
      </w:r>
    </w:p>
    <w:p>
      <w:r>
        <w:t>Der Vorsitzende führt in den Sach- und Streitstand ein. Gegenstand des Termins ist die Erläuterung des Gutachtens vom 28. Oktober 2025 und der Stellungnahme des Sachverständigen vom 8. Januar 2026. Die Parteien erklären, die Unterlagen erhalten zu haben.</w:t>
      </w:r>
    </w:p>
    <w:p>
      <w:pPr>
        <w:pStyle w:val="Heading1"/>
      </w:pPr>
      <w:r>
        <w:t>2. Angaben des Sachverständigen zur Ertragsauswertung</w:t>
      </w:r>
    </w:p>
    <w:p>
      <w:r>
        <w:t>Der Sachverständige erklärt, er habe die sechs Modulstränge am Ortstermin nicht unmittelbar gemessen. Die Ertragsbewertung beruhe auf Monitor- und Zählerdaten sowie einer Modellrechnung. Der Eigenverbrauch sei nach einem später vorgelegten Zählerblatt ergänzt worden. Auf Frage der Klägervertreterin erklärt er, Rohdaten des Wechselrichterherstellers lägen ihm nicht vor.</w:t>
      </w:r>
    </w:p>
    <w:p>
      <w:r>
        <w:t>Auf Frage des Gerichts erklärt der Sachverständige, die modellierte Verschattung könne einen Teil, nicht aber zwingend die gesamte Abweichung erklären. Eine belastbare Zuordnung des Restes erfordere eine Strangmessung. Er halte seine Aussage im Gutachten aufrecht, wonach die derzeitigen Unterlagen keine eindeutige technische Ursache belegten.</w:t>
      </w:r>
    </w:p>
    <w:p>
      <w:pPr>
        <w:pStyle w:val="Heading1"/>
      </w:pPr>
      <w:r>
        <w:t>3. Wechselrichter</w:t>
      </w:r>
    </w:p>
    <w:p>
      <w:r>
        <w:t>Der Sachverständige bestätigt, die Geräte nicht geöffnet zu haben. Die Ereigniscodes könnten sowohl mit Sensorik als auch mit Netzereignissen zusammenhängen. Eine Herstellerdiagnose sei nicht beigezogen worden. Rechtsanwältin Burgholz-Krebs weist auf das Schreiben der Stadtwerke vom 2. Dezember 2023 hin. Rechtsanwältin Knoblauch verweist auf Ausfälle nach dem Sensortausch.</w:t>
      </w:r>
    </w:p>
    <w:p>
      <w:pPr>
        <w:pStyle w:val="Heading1"/>
      </w:pPr>
      <w:r>
        <w:t>4. Dachanschlüsse</w:t>
      </w:r>
    </w:p>
    <w:p>
      <w:r>
        <w:t>Der Sachverständige erklärt, zwölf Anschlüsse äußerlich geprüft und drei Auffälligkeiten dokumentiert zu haben. Eine Demontage sei nicht erfolgt. Die jüngeren Feuchtespuren lägen räumlich unter zwei auffälligen Bereichen; ein sicherer Ursachennachweis sei ohne Öffnung nicht möglich. Die Beklagtenvertreterin verweist auf mögliche Eintrittswege am First. Die Klägervertreterin weist auf die Notabdichtung vom 21. November 2023 hin.</w:t>
      </w:r>
    </w:p>
    <w:p>
      <w:pPr>
        <w:pStyle w:val="Heading1"/>
      </w:pPr>
      <w:r>
        <w:t>5. Erstellung und Hilfsmittel</w:t>
      </w:r>
    </w:p>
    <w:p>
      <w:r>
        <w:t>Der Sachverständige erklärt auf Nachfrage, Frau Aufhauser habe Diagramme, Quellenlisten und Formatierung unterstützt. Außerdem habe er eine automatisierte Formulierungshilfe für sprachliche Überarbeitungen einzelner Abschnitte verwendet. Die technischen Bewertungen, Tabellenwerte und Antworten auf die Beweisfragen habe er selbst festgelegt und geprüft. Eine vollständige Versionshistorie der sprachlichen Änderungen sei nicht mehr vorhanden.</w:t>
      </w:r>
    </w:p>
    <w:p>
      <w:pPr>
        <w:pStyle w:val="Heading1"/>
      </w:pPr>
      <w:r>
        <w:t>6. Erklärungen der Parteien</w:t>
      </w:r>
    </w:p>
    <w:p>
      <w:r>
        <w:t>Die Klägervertreterin beantragt Schriftsatznachlass von zwei Wochen zur Auswertung der Erläuterungen. Die Beklagtenvertreterin tritt dem nicht entgegen und bittet um gleiche Frist. Beide Parteien erklären, Vergleichsgespräche seien derzeit möglich, setzten aber Klarheit über den Umfang weiterer Messungen voraus.</w:t>
      </w:r>
    </w:p>
    <w:p>
      <w:pPr>
        <w:pStyle w:val="Heading1"/>
      </w:pPr>
      <w:r>
        <w:t>7. Verfügung</w:t>
      </w:r>
    </w:p>
    <w:p>
      <w:pPr>
        <w:pStyle w:val="ListNumber"/>
      </w:pPr>
      <w:r>
        <w:t>Beiden Parteien wird Gelegenheit zur Stellungnahme bis 5. Februar 2026 gegeben.</w:t>
      </w:r>
    </w:p>
    <w:p>
      <w:pPr>
        <w:pStyle w:val="ListNumber"/>
      </w:pPr>
      <w:r>
        <w:t>Der Sachverständige soll bis 12. Februar 2026 mitteilen, welchen Zeit- und Kostenaufwand eine Strangmessung, Herstellerdiagnose und Öffnung dreier Dachanschlüsse verursachen würde.</w:t>
      </w:r>
    </w:p>
    <w:p>
      <w:pPr>
        <w:pStyle w:val="ListNumber"/>
      </w:pPr>
      <w:r>
        <w:t>Termin zur Fortsetzung wird von Amts wegen bestimmt.</w:t>
      </w:r>
    </w:p>
    <w:p>
      <w:r>
        <w:t>Vorgelesen und genehmigt. Auf erneutes Vorspielen der Tonaufzeichnung wird verzichtet.</w:t>
      </w:r>
    </w:p>
    <w:p>
      <w:r>
        <w:t>Dr. Fellner</w:t>
        <w:br/>
        <w:t>Vorsitzender Richter am Landgericht</w:t>
      </w:r>
    </w:p>
    <w:p>
      <w:r>
        <w:t>Pia Neumann</w:t>
        <w:br/>
        <w:t>Justizbeschäftigte als Urkundsbeamtin der Geschäftsstelle</w:t>
      </w:r>
    </w:p>
    <w:sectPr w:rsidR="00FC693F" w:rsidRPr="0006063C" w:rsidSect="00034616">
      <w:footerReference w:type="default" r:id="rId9"/>
      <w:headerReference w:type="default" r:id="rId10"/>
      <w:pgSz w:w="11906" w:h="16838"/>
      <w:pgMar w:top="1191" w:right="1191" w:bottom="1020"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jc w:val="left"/>
    </w:pPr>
    <w:r>
      <w:rPr>
        <w:rFonts w:ascii="Times New Roman" w:hAnsi="Times New Roman"/>
        <w:color w:val="6B6B66"/>
        <w:sz w:val="16"/>
      </w:rPr>
    </w:r>
    <w:r>
      <w:rPr>
        <w:rFonts w:ascii="Times New Roman" w:hAnsi="Times New Roman"/>
        <w:color w:val="6B6B66"/>
        <w:sz w:val="16"/>
      </w:rPr>
      <w:t>LANDGERICHT REGENSBURG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REGENSBURG</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23364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365F75"/>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365F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b/>
      <w:color w:val="2336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