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16"/>
        </w:rPr>
        <w:t>FREISTAAT BAYERN</w:t>
      </w:r>
    </w:p>
    <w:p>
      <w:pPr>
        <w:jc w:val="center"/>
      </w:pPr>
      <w:r>
        <w:rPr>
          <w:b/>
          <w:color w:val="23364D"/>
          <w:sz w:val="30"/>
        </w:rPr>
        <w:t>LANDGERICHT REGENSBURG</w:t>
      </w:r>
    </w:p>
    <w:p>
      <w:pPr>
        <w:jc w:val="center"/>
      </w:pPr>
      <w:r>
        <w:rPr>
          <w:sz w:val="18"/>
        </w:rPr>
        <w:t>4. Zivilkammer | Augustenstraße 5 | 93049 Regensburg</w:t>
      </w: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19"/>
        <w:gridCol w:w="4719"/>
      </w:tblGrid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Aktenzeichen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4 O 1287/24</w:t>
            </w:r>
          </w:p>
        </w:tc>
      </w:tr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Geschäftsstelle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Frau Rechtspflegerin Anna Vogelsang, Durchwahl 0941 2003-214</w:t>
            </w:r>
          </w:p>
        </w:tc>
      </w:tr>
      <w:tr>
        <w:tc>
          <w:tcPr>
            <w:tcW w:type="dxa" w:w="2381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6520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r>
              <w:rPr>
                <w:sz w:val="18"/>
              </w:rPr>
              <w:t>9. Dezember 2025</w:t>
            </w:r>
          </w:p>
        </w:tc>
      </w:tr>
    </w:tbl>
    <w:p/>
    <w:p>
      <w:r>
        <w:t>In dem Rechtsstreit</w:t>
        <w:br/>
        <w:t>Hartmut Sieglinger gegen Burgwald Energietechnik GmbH</w:t>
      </w:r>
    </w:p>
    <w:p>
      <w:pPr>
        <w:pStyle w:val="Heading1"/>
      </w:pPr>
      <w:r>
        <w:t>Verfügung</w:t>
      </w:r>
    </w:p>
    <w:p>
      <w:pPr>
        <w:pStyle w:val="ListNumber"/>
      </w:pPr>
      <w:r>
        <w:t>Termin zur mündlichen Erläuterung des Gutachtens vom 28. Oktober 2025 wird bestimmt auf Donnerstag, 22. Januar 2026, 09:30 Uhr, Sitzungssaal 4.142, Landgericht Regensburg.</w:t>
      </w:r>
    </w:p>
    <w:p>
      <w:pPr>
        <w:pStyle w:val="ListNumber"/>
      </w:pPr>
      <w:r>
        <w:t>Der Sachverständige Dipl.-Ing. Edmund Pfaffenberger hat persönlich zu erscheinen.</w:t>
      </w:r>
    </w:p>
    <w:p>
      <w:pPr>
        <w:pStyle w:val="ListNumber"/>
      </w:pPr>
      <w:r>
        <w:t>Der Sachverständige wird gebeten, bis 8. Januar 2026 das Zeitprotokoll des Ortstermins, die verwendeten Ertrags- und Zählerdaten, die Berechnungsdokumentation, die herangezogenen technischen Regeln sowie Namen und Tätigkeiten etwaiger Hilfskräfte vorzulegen.</w:t>
      </w:r>
    </w:p>
    <w:p>
      <w:pPr>
        <w:pStyle w:val="ListNumber"/>
      </w:pPr>
      <w:r>
        <w:t>Der Sachverständige soll ferner angeben, welche Programme und sonstigen technischen Hilfsmittel bei Berechnung, Diagrammerstellung und sprachlicher Ausarbeitung eingesetzt wurden und in welchem Umfang die abschließende Kontrolle persönlich erfolgt ist.</w:t>
      </w:r>
    </w:p>
    <w:p>
      <w:pPr>
        <w:pStyle w:val="ListNumber"/>
      </w:pPr>
      <w:r>
        <w:t>Die Parteien können bis 15. Januar 2026 konkrete Ergänzungsfragen ankündigen. Die Fragen sind nach den drei Beweisthemen Ertrag, Wechselrichter und Dachanschlüsse zu gliedern.</w:t>
      </w:r>
    </w:p>
    <w:p>
      <w:pPr>
        <w:pStyle w:val="ListNumber"/>
      </w:pPr>
      <w:r>
        <w:t>Der Sachverständige soll in der Anhörung erläutern, weshalb keine direkte Strangmessung und keine Öffnung von Wechselrichtern oder Dachanschlüssen erfolgte und welche Aussagegrenzen daraus folgen.</w:t>
      </w:r>
    </w:p>
    <w:p>
      <w:r>
        <w:t>Die Geschäftsstelle übersendet dem Sachverständigen erneut den Beweisbeschluss und die Anlagen K 4 bis K 7 sowie B 4 bis B 8. Der Eingang der Stellungnahme ist den Parteien unverzüglich mitzuteilen.</w:t>
      </w:r>
    </w:p>
    <w:p>
      <w:r>
        <w:t>Dr. Fellner</w:t>
        <w:br/>
        <w:t>Vorsitzender Richter am Landgericht</w:t>
      </w:r>
    </w:p>
    <w:p>
      <w:r>
        <w:t>Für die Richtigkeit der Abschrift</w:t>
        <w:br/>
        <w:t>Anna Vogelsang, Justizbeschäftigte</w:t>
        <w:br/>
        <w:t>Maschinell beglaubigt, ohne Unterschrift gültig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91" w:right="1191" w:bottom="1020" w:left="1276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REGENSBURG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REGENSBURG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336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65F7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65F7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23364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