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01 — Aktenaufnahme und Initial-Strukturierung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Gericht:</w:t>
      </w:r>
      <w:r>
        <w:t xml:space="preserve"> LG Stuttgart 4. Große Strafkammer — KLs 4 Js 18.422/26</w:t>
      </w:r>
    </w:p>
    <w:p>
      <w:pPr>
        <w:jc w:val="left"/>
      </w:pPr>
      <w:r>
        <w:rPr>
          <w:b/>
        </w:rPr>
        <w:t>Tatvorwurf:</w:t>
      </w:r>
      <w:r>
        <w:t xml:space="preserve"> Bandenmaessiger schwerer Raub gem. § 250 Abs. 2 Nr. 1 StGB i.V.m. § 244a StGB</w:t>
      </w:r>
    </w:p>
    <w:p>
      <w:pPr>
        <w:jc w:val="left"/>
      </w:pPr>
      <w:r>
        <w:rPr>
          <w:b/>
        </w:rPr>
        <w:t>Tatzeit:</w:t>
      </w:r>
      <w:r>
        <w:t xml:space="preserve"> 18.10.2025, ca. 10:45 Uhr</w:t>
      </w:r>
    </w:p>
    <w:p>
      <w:pPr>
        <w:jc w:val="left"/>
      </w:pPr>
      <w:r>
        <w:rPr>
          <w:b/>
        </w:rPr>
        <w:t>Tatort:</w:t>
      </w:r>
      <w:r>
        <w:t xml:space="preserve"> Familienjuwelier Goldhofer-Egenter, Königstrasse 47, 70173 Stuttgart</w:t>
      </w:r>
    </w:p>
    <w:p>
      <w:pPr>
        <w:jc w:val="left"/>
      </w:pPr>
      <w:r>
        <w:rPr>
          <w:b/>
        </w:rPr>
        <w:t>Stichtag dieser Notiz:</w:t>
      </w:r>
      <w:r>
        <w:t xml:space="preserve"> 14.01.2026</w:t>
      </w:r>
    </w:p>
    <w:p/>
    <w:p>
      <w:pPr>
        <w:pStyle w:val="Heading2"/>
      </w:pPr>
      <w:r>
        <w:rPr>
          <w:rFonts w:ascii="Times New Roman" w:hAnsi="Times New Roman"/>
        </w:rPr>
        <w:t>1. Mandatsuebernahme und Verfahrensstand</w:t>
      </w:r>
    </w:p>
    <w:p>
      <w:pPr>
        <w:jc w:val="left"/>
      </w:pPr>
      <w:r>
        <w:t xml:space="preserve">Die Kanzlei hat das Mandat zur Verteidigung von Mateusz Korbiel (geb. 04.03.1997, polnischer Staatsangehöriger, derzeit in Untersuchungshaft JVA Stammheim, Az. JVA St 2025-4471) am 03.11.2025 übernommen. Bevollmächtigter Strafverteidiger: </w:t>
      </w:r>
      <w:r>
        <w:rPr>
          <w:b/>
        </w:rPr>
        <w:t>RA Dr. Magnus Schorlemmer</w:t>
      </w:r>
      <w:r>
        <w:t>, Schorlemmer &amp; Partner Strafverteidigung, Stuttgart.</w:t>
      </w:r>
    </w:p>
    <w:p>
      <w:pPr>
        <w:jc w:val="left"/>
      </w:pPr>
      <w:r>
        <w:t>Die übrigen Beschuldigten werden wie folgt vertreten:</w:t>
      </w:r>
    </w:p>
    <w:p>
      <w:pPr>
        <w:pStyle w:val="ListBullet"/>
      </w:pPr>
      <w:r>
        <w:rPr>
          <w:b/>
        </w:rPr>
        <w:t>Lukas-Maxim Drebenstedt</w:t>
      </w:r>
      <w:r>
        <w:t xml:space="preserve"> (geb. 17.09.1992, wohnhaft Stuttgart-Bad Cannstatt, Kontaktverbot gem. § 116 StPO): </w:t>
      </w:r>
      <w:r>
        <w:rPr>
          <w:b/>
        </w:rPr>
        <w:t>RA Walther Steinbach</w:t>
      </w:r>
      <w:r>
        <w:t>, Steinbach Strafrecht, Heilbronn</w:t>
      </w:r>
    </w:p>
    <w:p>
      <w:pPr>
        <w:pStyle w:val="ListBullet"/>
      </w:pPr>
      <w:r>
        <w:rPr>
          <w:b/>
        </w:rPr>
        <w:t>Vasile Iordache</w:t>
      </w:r>
      <w:r>
        <w:t xml:space="preserve"> (geb. 22.04.1984, rumänischer Staatsangehöriger, flüchtig, Interpol Red Notice erlassen): </w:t>
      </w:r>
      <w:r>
        <w:rPr>
          <w:b/>
        </w:rPr>
        <w:t>RA Felix Krämer</w:t>
      </w:r>
      <w:r>
        <w:t>, Krämer Strafverteidigung, Stuttgart (Pflichtverteidiger, noch nicht zugestellt)</w:t>
      </w:r>
    </w:p>
    <w:p>
      <w:pPr>
        <w:pStyle w:val="ListBullet"/>
      </w:pPr>
      <w:r>
        <w:rPr>
          <w:b/>
        </w:rPr>
        <w:t>Edona Krasniqi</w:t>
      </w:r>
      <w:r>
        <w:t xml:space="preserve"> (geb. 11.08.1999, kosovarische Staatsangehörige, Untersuchungshaft JVA Schwäbisch Gmuend, schwangere Mutter eines Kleinkindes, Sonderfall § 72a StPO): </w:t>
      </w:r>
      <w:r>
        <w:rPr>
          <w:b/>
        </w:rPr>
        <w:t>RAin Dr. Vivien Mohnsen-Stoeber</w:t>
      </w:r>
      <w:r>
        <w:t>, Kanzlei Mohnsen-Stoeber, Stuttgart (Schwerpunkt Jugend- und Frauenstrafrecht)</w:t>
      </w:r>
    </w:p>
    <w:p>
      <w:pPr>
        <w:jc w:val="left"/>
      </w:pPr>
      <w:r>
        <w:t xml:space="preserve">Nebenklage (§ 395 StPO) für die Verletzten Beate Goldhofer-Egenter und Selma Aydin wird vertreten durch </w:t>
      </w:r>
      <w:r>
        <w:rPr>
          <w:b/>
        </w:rPr>
        <w:t>RAin Carola Brandes-Weiss</w:t>
      </w:r>
      <w:r>
        <w:t>, Stuttgart.</w:t>
      </w:r>
    </w:p>
    <w:p/>
    <w:p>
      <w:pPr>
        <w:pStyle w:val="Heading2"/>
      </w:pPr>
      <w:r>
        <w:rPr>
          <w:rFonts w:ascii="Times New Roman" w:hAnsi="Times New Roman"/>
        </w:rPr>
        <w:t>2. Verfahrenschronologie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18.10.2025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Tatgeschehen, Festnahme Korbiel und Krasniqi am Tatort (LKA BW Krim. Nr. EG Juwel 2025-1018)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20.10.2025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Erlass Haftbefehle durch AG Stuttgart (Az. AG St 2025-2904 U) gegen Korbiel und Krasniqi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22.10.2025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Erstzustellung an Drebenstedt, Kontaktverbotsbeschluss AG Stuttgart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28.10.2025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Interpol Red Notice gegen Iordache beantragt (BKA BW/PL 2025-0088)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Mandatsuebernahme Dr. Schorlemmer für Korbiel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Anklageschrift StA Stuttgart eingegangen (Entwurf), Präsentation Schwurgerichtssache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Akteneinsicht erstmals beantragt durch alle Verteidiger (§ 147 StPO)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Akteneinsicht teilweise gewährt; EncroChat-Extrakte noch gesperrt (GBA-Vorbehalt)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Aktenstruktur und Seitenumfang</w:t>
      </w:r>
    </w:p>
    <w:p>
      <w:pPr>
        <w:jc w:val="left"/>
      </w:pPr>
      <w:r>
        <w:t xml:space="preserve">Die Ermittlungsakte umfasst zum Stand 14.01.2026 insgesamt </w:t>
      </w:r>
      <w:r>
        <w:rPr>
          <w:b/>
        </w:rPr>
        <w:t>4.847 Seiten</w:t>
      </w:r>
      <w:r>
        <w:t xml:space="preserve"> in 12 Aktenbanden sowie 3 Sonderakten (Sonderband TKUe, Sonderband FZA, Sonderband EncroChat/SkyECC). Hinzu treten:</w:t>
      </w:r>
    </w:p>
    <w:p>
      <w:pPr>
        <w:pStyle w:val="ListBullet"/>
      </w:pPr>
      <w:r>
        <w:rPr>
          <w:b/>
        </w:rPr>
        <w:t>38 Lichtbildmappen</w:t>
      </w:r>
      <w:r>
        <w:t xml:space="preserve"> (Tatortfotografie, Spurensicherung, Videostandbilder)</w:t>
      </w:r>
    </w:p>
    <w:p>
      <w:pPr>
        <w:pStyle w:val="ListBullet"/>
      </w:pPr>
      <w:r>
        <w:rPr>
          <w:b/>
        </w:rPr>
        <w:t>12 CD/DVD</w:t>
      </w:r>
      <w:r>
        <w:t xml:space="preserve"> mit Video- und Tonmaterial</w:t>
      </w:r>
    </w:p>
    <w:p>
      <w:pPr>
        <w:pStyle w:val="ListBullet"/>
      </w:pPr>
      <w:r>
        <w:rPr>
          <w:b/>
        </w:rPr>
        <w:t>2 USB-Sticks</w:t>
      </w:r>
      <w:r>
        <w:t xml:space="preserve"> mit digitalem Beweismaterial (Chain-Analysis-Exporte)</w:t>
      </w:r>
    </w:p>
    <w:p>
      <w:pPr>
        <w:pStyle w:val="ListBullet"/>
      </w:pPr>
      <w:r>
        <w:rPr>
          <w:b/>
        </w:rPr>
        <w:t>Sonderband Krasniqi</w:t>
      </w:r>
      <w:r>
        <w:t xml:space="preserve"> (Mutterschutz, Vollzugslockerung, Jugendschutz)</w:t>
      </w:r>
    </w:p>
    <w:p>
      <w:pPr>
        <w:pStyle w:val="ListBullet"/>
      </w:pPr>
      <w:r>
        <w:rPr>
          <w:b/>
        </w:rPr>
        <w:t>Rechtshilfekorrespondenz</w:t>
      </w:r>
      <w:r>
        <w:t xml:space="preserve"> Polen und Rumänien (noch ausstehend)</w:t>
      </w:r>
    </w:p>
    <w:p/>
    <w:p>
      <w:pPr>
        <w:pStyle w:val="Heading2"/>
      </w:pPr>
      <w:r>
        <w:rPr>
          <w:rFonts w:ascii="Times New Roman" w:hAnsi="Times New Roman"/>
        </w:rPr>
        <w:t>4. Initial-Strukturierung für die Hauptverhandlung</w:t>
      </w:r>
    </w:p>
    <w:p>
      <w:pPr>
        <w:pStyle w:val="Heading3"/>
      </w:pPr>
      <w:r>
        <w:rPr>
          <w:rFonts w:ascii="Times New Roman" w:hAnsi="Times New Roman"/>
        </w:rPr>
        <w:t>4.1 Tatkomplex — Übersicht</w:t>
      </w:r>
    </w:p>
    <w:p>
      <w:pPr>
        <w:jc w:val="left"/>
      </w:pPr>
      <w:r>
        <w:t>Der Anklagevorwurf bezieht sich auf einen bandenmassig organisierten schweren Raububerfall:</w:t>
      </w:r>
    </w:p>
    <w:p>
      <w:pPr>
        <w:jc w:val="left"/>
      </w:pPr>
      <w:r>
        <w:rPr>
          <w:b/>
        </w:rPr>
        <w:t>Tatbestandselemente § 250 Abs. 2 Nr. 1 StGB:</w:t>
      </w:r>
    </w:p>
    <w:p>
      <w:pPr>
        <w:pStyle w:val="ListNumber"/>
      </w:pPr>
      <w:r>
        <w:t>Raub i.S.d. § 249 StGB (Wegnahme Schmuckwaren, Uhren, Goldbarren im Wert von ca. 1,7 Mio. EUR)</w:t>
      </w:r>
    </w:p>
    <w:p>
      <w:pPr>
        <w:pStyle w:val="ListNumber"/>
      </w:pPr>
      <w:r>
        <w:t>Mitführen eines gefährlichen Werkzeugs (Brecheisen, Sprühdose Pfefferspray — sichergestellt)</w:t>
      </w:r>
    </w:p>
    <w:p>
      <w:pPr>
        <w:pStyle w:val="ListNumber"/>
      </w:pPr>
      <w:r>
        <w:t>Bandenmaessige Begehung i.S.d. § 244a StGB (Bande aus mindestens drei Personen mit dauerhafter Verbindung)</w:t>
      </w:r>
    </w:p>
    <w:p>
      <w:pPr>
        <w:pStyle w:val="ListNumber"/>
      </w:pPr>
      <w:r>
        <w:t>Schwere Körperverletzung der Inhaberin Beate Goldhofer-Egenter (Schädelprellung, Krankenhausaufenthalt 3 Tage) und der Mitarbeiterin Selma Aydin (HWS-Schleudertrauma, PTBS, Atttest Dr. Haensl 04.11.2025)</w:t>
      </w:r>
    </w:p>
    <w:p>
      <w:pPr>
        <w:jc w:val="left"/>
      </w:pPr>
      <w:r>
        <w:rPr>
          <w:b/>
        </w:rPr>
        <w:t>Strafrahmen:</w:t>
      </w:r>
      <w:r>
        <w:t xml:space="preserve"> Freiheitsstrafe nicht unter 5 Jahren (§ 250 Abs. 2 StGB); beachte § 49 Abs. 1 StGB für Gehilfen.</w:t>
      </w:r>
    </w:p>
    <w:p>
      <w:pPr>
        <w:pStyle w:val="Heading3"/>
      </w:pPr>
      <w:r>
        <w:rPr>
          <w:rFonts w:ascii="Times New Roman" w:hAnsi="Times New Roman"/>
        </w:rPr>
        <w:t>4.2 Rollen der Beschuldigten (vorläufige Einordnung 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Beschuldigter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Vorgeworfene Rolle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Tatbeiträge laut Anklage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Korbiel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Haupttäter (Objektsicherung, Einsatz Pfefferspray)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Einbruch Schaufenster, Sprüheinsatz gegen B. Goldhofer-Egenter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Drebenstedt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Fahrer / Fluchtplanung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 Fluchtwagen VW Transporter, Nachrichten-Koordination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Iordache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Bandenführer / Planung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Organisation, Waffen-Beschaffung, Hawala-Transaktionen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Krasniqi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Späherin / Ablenkung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Tatortrekognoszierung vorab, Ablenkung Schaufenster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4.3 Bearbeitungsprioritäten</w:t>
      </w:r>
    </w:p>
    <w:p>
      <w:pPr>
        <w:pStyle w:val="ListNumber"/>
      </w:pPr>
      <w:r>
        <w:rPr>
          <w:b/>
        </w:rPr>
        <w:t>Sofort:</w:t>
      </w:r>
      <w:r>
        <w:t xml:space="preserve"> Vollständige Akteneinsicht sicherstellen (§ 147 StPO — Antrag bereits gestellt, vgl. AS 08)</w:t>
      </w:r>
    </w:p>
    <w:p>
      <w:pPr>
        <w:pStyle w:val="ListNumber"/>
      </w:pPr>
      <w:r>
        <w:rPr>
          <w:b/>
        </w:rPr>
        <w:t>Kurzfristig:</w:t>
      </w:r>
      <w:r>
        <w:t xml:space="preserve"> Verwertbarkeit EncroChat/SkyECC prüfen (vgl. AS 03)</w:t>
      </w:r>
    </w:p>
    <w:p>
      <w:pPr>
        <w:pStyle w:val="ListNumber"/>
      </w:pPr>
      <w:r>
        <w:rPr>
          <w:b/>
        </w:rPr>
        <w:t>Mittelfristig:</w:t>
      </w:r>
      <w:r>
        <w:t xml:space="preserve"> FZA-Auswertung eigene Analyse, DNA-Spur-Konfrontation</w:t>
      </w:r>
    </w:p>
    <w:p>
      <w:pPr>
        <w:pStyle w:val="ListNumber"/>
      </w:pPr>
      <w:r>
        <w:rPr>
          <w:b/>
        </w:rPr>
        <w:t>Langfristig:</w:t>
      </w:r>
      <w:r>
        <w:t xml:space="preserve"> Verständigungsbemühungen Krasniqi (§ 257c StPO, vgl. AS 10), Rechtshilfe Polen/Rumänien</w:t>
      </w:r>
    </w:p>
    <w:p/>
    <w:p>
      <w:pPr>
        <w:pStyle w:val="Heading2"/>
      </w:pPr>
      <w:r>
        <w:rPr>
          <w:rFonts w:ascii="Times New Roman" w:hAnsi="Times New Roman"/>
        </w:rPr>
        <w:t>5. Aktenzeichensystem und interne Ordnung</w:t>
      </w:r>
    </w:p>
    <w:p>
      <w:pPr>
        <w:jc w:val="left"/>
      </w:pPr>
      <w:r>
        <w:t>Interne Verweise folgen dem Schema:</w:t>
      </w:r>
    </w:p>
    <w:p>
      <w:pPr>
        <w:pStyle w:val="ListBullet"/>
      </w:pPr>
      <w:r>
        <w:rPr>
          <w:b/>
        </w:rPr>
        <w:t>AS [Nr.]</w:t>
      </w:r>
      <w:r>
        <w:t xml:space="preserve"> = Aktenstück dieser Sammelakte</w:t>
      </w:r>
    </w:p>
    <w:p>
      <w:pPr>
        <w:pStyle w:val="ListBullet"/>
      </w:pPr>
      <w:r>
        <w:rPr>
          <w:b/>
        </w:rPr>
        <w:t>EAkte Bd. [Nr.] S. [Nr.]</w:t>
      </w:r>
      <w:r>
        <w:t xml:space="preserve"> = Ermittlungsakte Band/Seite</w:t>
      </w:r>
    </w:p>
    <w:p>
      <w:pPr>
        <w:pStyle w:val="ListBullet"/>
      </w:pPr>
      <w:r>
        <w:rPr>
          <w:b/>
        </w:rPr>
        <w:t>SB TKUe [Nr.]</w:t>
      </w:r>
      <w:r>
        <w:t xml:space="preserve"> = Sonderband TKUe</w:t>
      </w:r>
    </w:p>
    <w:p>
      <w:pPr>
        <w:pStyle w:val="ListBullet"/>
      </w:pPr>
      <w:r>
        <w:rPr>
          <w:b/>
        </w:rPr>
        <w:t>SB FZA [Nr.]</w:t>
      </w:r>
      <w:r>
        <w:t xml:space="preserve"> = Sonderband Funkzellenauswertung</w:t>
      </w:r>
    </w:p>
    <w:p>
      <w:pPr>
        <w:pStyle w:val="ListBullet"/>
      </w:pPr>
      <w:r>
        <w:rPr>
          <w:b/>
        </w:rPr>
        <w:t>SB ECC [Nr.]</w:t>
      </w:r>
      <w:r>
        <w:t xml:space="preserve"> = Sonderband EncroChat/SkyECC</w:t>
      </w:r>
    </w:p>
    <w:p>
      <w:pPr>
        <w:jc w:val="left"/>
      </w:pPr>
      <w:r>
        <w:rPr>
          <w:b/>
        </w:rPr>
        <w:t>Quellen:</w:t>
      </w:r>
      <w:r>
        <w:t xml:space="preserve"> Anklageschrift StA Stuttgart vom 17.11.2025; Haftbefehle AG Stuttgart Az. 2025-2904 U; Lichtbildmappe LKA BW EG Juwel 2025-1018; § 250 Abs. 2 StGB, § 244a StGB (dejure.org); § 147 StPO (dejure.org).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Gericht: LG Stuttgart 4. Große Strafkammer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Gericht: LG Stuttgart 4. Große Strafkammer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