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Gesellschafterbeschluss — Auflösung der Strassburger Handelshof GmbH</w:t>
      </w:r>
    </w:p>
    <w:p>
      <w:pPr>
        <w:jc w:val="left"/>
      </w:pPr>
      <w:r>
        <w:rPr>
          <w:b/>
        </w:rPr>
        <w:t>Niederschrift über die ausserordentliche Gesellschafterversammlung der Strassburger Handelshof GmbH</w:t>
      </w:r>
    </w:p>
    <w:p/>
    <w:p>
      <w:pPr>
        <w:pStyle w:val="Heading2"/>
      </w:pPr>
      <w:r>
        <w:rPr>
          <w:rFonts w:ascii="Times New Roman" w:hAnsi="Times New Roman"/>
        </w:rPr>
        <w:t>Allgemeines</w:t>
      </w:r>
    </w:p>
    <w:p>
      <w:pPr>
        <w:pStyle w:val="ListBullet"/>
      </w:pPr>
      <w:r>
        <w:t xml:space="preserve">Datum: </w:t>
      </w:r>
      <w:r>
        <w:rPr>
          <w:b/>
        </w:rPr>
        <w:t>15. April 2026</w:t>
      </w:r>
    </w:p>
    <w:p>
      <w:pPr>
        <w:pStyle w:val="ListBullet"/>
      </w:pPr>
      <w:r>
        <w:t>Uhrzeit: 11:00 Uhr bis 11:35 Uhr</w:t>
      </w:r>
    </w:p>
    <w:p>
      <w:pPr>
        <w:pStyle w:val="ListBullet"/>
      </w:pPr>
      <w:r>
        <w:t>Ort: Notarbüro Dr. Anna Birke, Schlueterstrasse 32, 10625 Berlin</w:t>
      </w:r>
    </w:p>
    <w:p>
      <w:pPr>
        <w:pStyle w:val="ListBullet"/>
      </w:pPr>
      <w:r>
        <w:t>Notarin: Dr. Anna Birke, UR-Nr. 188/2026</w:t>
      </w:r>
    </w:p>
    <w:p>
      <w:pPr>
        <w:pStyle w:val="ListBullet"/>
      </w:pPr>
      <w:r>
        <w:t>Anwesend:</w:t>
      </w:r>
    </w:p>
    <w:p>
      <w:pPr>
        <w:pStyle w:val="ListBullet"/>
      </w:pPr>
      <w:r>
        <w:t>Frau Helene Strassburger-Wittenburg, geb. 17.04.1958, wohnhaft Bleibtreustrasse 14, 10623 Berlin (Alleingesellschafterin, Inhaberin von Geschäftsanteilen im Nennbetrag von 25.000,00 EUR, mithin 100 % des Stammkapitals)</w:t>
      </w:r>
    </w:p>
    <w:p>
      <w:pPr>
        <w:pStyle w:val="ListBullet"/>
      </w:pPr>
      <w:r>
        <w:t>Notarin Dr. Anna Birke</w:t>
      </w:r>
    </w:p>
    <w:p>
      <w:pPr>
        <w:pStyle w:val="ListBullet"/>
      </w:pPr>
      <w:r>
        <w:t>Beigezogen: StB/RAin Dr. Cordula Pinneberg-Talheim (Kanzlei Pinneberg, Eschberg und Partner mbB)</w:t>
      </w:r>
    </w:p>
    <w:p/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ListNumber"/>
      </w:pPr>
      <w:r>
        <w:t>Beschlussfassung über die Auflösung der Gesellschaft nach § 60 Abs. 1 Nr. 2 GmbHG.</w:t>
      </w:r>
    </w:p>
    <w:p>
      <w:pPr>
        <w:pStyle w:val="ListNumber"/>
      </w:pPr>
      <w:r>
        <w:t>Bestellung der Liquidatorin (§ 66 Abs. 1 GmbHG).</w:t>
      </w:r>
    </w:p>
    <w:p>
      <w:pPr>
        <w:pStyle w:val="ListNumber"/>
      </w:pPr>
      <w:r>
        <w:t>Weisung an die Liquidatorin zur Bekanntmachung und Gläubigeraufruf (§ 65 GmbHG).</w:t>
      </w:r>
    </w:p>
    <w:p>
      <w:pPr>
        <w:pStyle w:val="ListNumber"/>
      </w:pPr>
      <w:r>
        <w:t>Verschiedenes.</w:t>
      </w:r>
    </w:p>
    <w:p/>
    <w:p>
      <w:pPr>
        <w:pStyle w:val="Heading2"/>
      </w:pPr>
      <w:r>
        <w:rPr>
          <w:rFonts w:ascii="Times New Roman" w:hAnsi="Times New Roman"/>
        </w:rPr>
        <w:t>Beschlüsse</w:t>
      </w:r>
    </w:p>
    <w:p>
      <w:pPr>
        <w:pStyle w:val="Heading3"/>
      </w:pPr>
      <w:r>
        <w:rPr>
          <w:rFonts w:ascii="Times New Roman" w:hAnsi="Times New Roman"/>
        </w:rPr>
        <w:t>TOP 1 — Auflösung der Gesellschaft</w:t>
      </w:r>
    </w:p>
    <w:p>
      <w:pPr>
        <w:jc w:val="left"/>
      </w:pPr>
      <w:r>
        <w:t>Die Alleingesellschafterin Frau Helene Strassburger-Wittenburg beschliesst mit ihren sämtlichen Geschäftsanteilen (mithin einstimmig und mit der erforderlichen Mehrheit nach § 60 Abs. 1 Nr. 2 GmbHG, § 9 der Satzung):</w:t>
      </w:r>
    </w:p>
    <w:p>
      <w:pPr>
        <w:ind w:left="567"/>
      </w:pPr>
      <w:r>
        <w:rPr>
          <w:i/>
        </w:rPr>
        <w:t>"Die Strassburger Handelshof GmbH, mit Sitz in 10629 Berlin, eingetragen im Handelsregister des Amtsgerichts Charlottenburg unter HRB 188742 B, wird mit Wirkung zum heutigen Tag, dem 15. April 2026, aufgelöst."</w:t>
      </w:r>
    </w:p>
    <w:p>
      <w:pPr>
        <w:jc w:val="left"/>
      </w:pPr>
      <w:r>
        <w:rPr>
          <w:b/>
        </w:rPr>
        <w:t>Beschlussbegründung:</w:t>
      </w:r>
    </w:p>
    <w:p>
      <w:pPr>
        <w:jc w:val="left"/>
      </w:pPr>
      <w:r>
        <w:t>Die Gesellschaft hat ihren wirtschaftlichen Geschäftszweck — den B2B-Grosshandel mit Damenmode — endgültig erfüllt. Das Geschäftsmodell ist seit der COVID-19-Pandemie nachhaltig erschöpft. Eine Fortführung wäre wirtschaftlich nicht mehr zu rechtfertigen. Die Gesellschaft ist nicht zahlungsunfähig (§ 17 InsO); sie ist auch nicht überschuldet im Sinne des § 19 InsO, da das nachrangige Gesellschafterdarlehen mit qualifiziertem Rangrücktritt nach § 19 Abs. 2 S. 3 InsO nicht in den Ueberschuldungsstatus eingestellt wird. Eine Sanierung ist nicht angezeigt.</w:t>
      </w:r>
    </w:p>
    <w:p>
      <w:pPr>
        <w:jc w:val="left"/>
      </w:pPr>
      <w:r>
        <w:t xml:space="preserve">Die Auflösung erfolgt daher nach </w:t>
      </w:r>
      <w:r>
        <w:rPr>
          <w:b/>
        </w:rPr>
        <w:t>§ 60 Abs. 1 Nr. 2 GmbHG</w:t>
      </w:r>
      <w:r>
        <w:t xml:space="preserve"> auf der Grundlage des Beschlusses der Alleingesellschafterin.</w:t>
      </w:r>
    </w:p>
    <w:p>
      <w:pPr>
        <w:pStyle w:val="Heading3"/>
      </w:pPr>
      <w:r>
        <w:rPr>
          <w:rFonts w:ascii="Times New Roman" w:hAnsi="Times New Roman"/>
        </w:rPr>
        <w:t>TOP 2 — Bestellung der Liquidatorin</w:t>
      </w:r>
    </w:p>
    <w:p>
      <w:pPr>
        <w:ind w:left="567"/>
      </w:pPr>
      <w:r>
        <w:rPr>
          <w:i/>
        </w:rPr>
        <w:t xml:space="preserve">"Zur Liquidatorin der aufgelösten Gesellschaft wird mit Wirkung zum heutigen Tag, dem 15. April 2026, </w:t>
      </w:r>
      <w:r>
        <w:rPr>
          <w:b/>
          <w:i/>
        </w:rPr>
        <w:t>Frau Helene Strassburger-Wittenburg</w:t>
      </w:r>
      <w:r>
        <w:rPr>
          <w:i/>
        </w:rPr>
        <w:t>, geb. 17.04.1958, wohnhaft Bleibtreustrasse 14, 10623 Berlin, bestellt. Sie ist alleinvertretungsberechtigt und von den Beschränkungen des § 181 BGB befreit."</w:t>
      </w:r>
    </w:p>
    <w:p>
      <w:pPr>
        <w:jc w:val="left"/>
      </w:pPr>
      <w:r>
        <w:rPr>
          <w:b/>
        </w:rPr>
        <w:t>Rechtsgrundlage:</w:t>
      </w:r>
      <w:r>
        <w:t xml:space="preserve"> § 66 Abs. 1 GmbHG i.V.m. § 9 der Satzung.</w:t>
      </w:r>
    </w:p>
    <w:p>
      <w:pPr>
        <w:jc w:val="left"/>
      </w:pPr>
      <w:r>
        <w:t>Die Liquidatorin nimmt die Bestellung ausdrücklich an. Sie versichert, dass keine Tatsachen vorliegen, die ihrer Bestellung entgegenstuenden (§ 6 Abs. 2 S. 2 Nr. 2 und 3 GmbHG analog über § 66 Abs. 4 GmbHG).</w:t>
      </w:r>
    </w:p>
    <w:p>
      <w:pPr>
        <w:pStyle w:val="Heading3"/>
      </w:pPr>
      <w:r>
        <w:rPr>
          <w:rFonts w:ascii="Times New Roman" w:hAnsi="Times New Roman"/>
        </w:rPr>
        <w:t>TOP 3 — Weisung zur Bekanntmachung</w:t>
      </w:r>
    </w:p>
    <w:p>
      <w:pPr>
        <w:ind w:left="567"/>
      </w:pPr>
      <w:r>
        <w:rPr>
          <w:i/>
        </w:rPr>
        <w:t>"Die Liquidatorin wird angewiesen, die Auflösung der Gesellschaft unverzüglich nach § 65 Abs. 1 GmbHG zur Eintragung im Handelsregister anzumelden und nach § 65 Abs. 2 GmbHG dreimalig im Unternehmensregister bekanntzumachen, verbunden mit der Aufforderung an die Gläubiger, sich bei der Gesellschaft zu melden."</w:t>
      </w:r>
    </w:p>
    <w:p>
      <w:pPr>
        <w:pStyle w:val="Heading3"/>
      </w:pPr>
      <w:r>
        <w:rPr>
          <w:rFonts w:ascii="Times New Roman" w:hAnsi="Times New Roman"/>
        </w:rPr>
        <w:t>TOP 4 — Verschiedenes</w:t>
      </w:r>
    </w:p>
    <w:p>
      <w:pPr>
        <w:jc w:val="left"/>
      </w:pPr>
      <w:r>
        <w:t>Keine weiteren Beschlüsse.</w:t>
      </w:r>
    </w:p>
    <w:p/>
    <w:p>
      <w:pPr>
        <w:pStyle w:val="Heading2"/>
      </w:pPr>
      <w:r>
        <w:rPr>
          <w:rFonts w:ascii="Times New Roman" w:hAnsi="Times New Roman"/>
        </w:rPr>
        <w:t>Erklärungen der Beteiligten</w:t>
      </w:r>
    </w:p>
    <w:p>
      <w:pPr>
        <w:jc w:val="left"/>
      </w:pPr>
      <w:r>
        <w:t>Die Alleingesellschafterin erklärt ausdrücklich:</w:t>
      </w:r>
    </w:p>
    <w:p>
      <w:pPr>
        <w:pStyle w:val="ListNumber"/>
      </w:pPr>
      <w:r>
        <w:t xml:space="preserve">Sie wird das ihr gegen die Gesellschaft zustehende </w:t>
      </w:r>
      <w:r>
        <w:rPr>
          <w:b/>
        </w:rPr>
        <w:t>Gesellschafterdarlehen über 2.400.000,00 EUR</w:t>
      </w:r>
      <w:r>
        <w:t xml:space="preserve"> (Stand 15.04.2026; qualifizierter Rangrücktritt vom 14.03.2021) </w:t>
      </w:r>
      <w:r>
        <w:rPr>
          <w:b/>
        </w:rPr>
        <w:t>mit dem heutigen Auflösungsbeschluss NICHT erlassen</w:t>
      </w:r>
      <w:r>
        <w:t>. Der Rangrücktritt mit Tilgungsvorbehalt aus zukünftigem freien Vermögen bleibt unverändert wirksam.</w:t>
      </w:r>
    </w:p>
    <w:p>
      <w:pPr>
        <w:pStyle w:val="ListNumber"/>
      </w:pPr>
      <w:r>
        <w:t>Sie hat zur Kenntnis genommen, dass die Auflösung allein das Erlöschen der werbenden Gesellschaft bewirkt; die Rechtspersönlichkeit besteht bis zur endgültigen Löschung im Handelsregister nach Beendigung der Liquidation und Ablauf des Sperrjahres (§ 73 GmbHG) fort.</w:t>
      </w:r>
    </w:p>
    <w:p>
      <w:pPr>
        <w:pStyle w:val="ListNumber"/>
      </w:pPr>
      <w:r>
        <w:t>Sie wurde durch die anwesende Beraterin StB/RAin Dr. Pinneberg-Talheim über die steuerlichen Folgen umfassend belehrt, insbesondere über:</w:t>
      </w:r>
    </w:p>
    <w:p>
      <w:pPr>
        <w:pStyle w:val="ListBullet"/>
      </w:pPr>
      <w:r>
        <w:t>die Liquidationsbesteuerung nach § 11 KStG (Drei-Jahres-Zeitraum);</w:t>
      </w:r>
    </w:p>
    <w:p>
      <w:pPr>
        <w:pStyle w:val="ListBullet"/>
      </w:pPr>
      <w:r>
        <w:t>das mehrfach offene Verhältnis von § 5 Abs. 2a EStG zur Liquidationsbilanz;</w:t>
      </w:r>
    </w:p>
    <w:p>
      <w:pPr>
        <w:pStyle w:val="ListBullet"/>
      </w:pPr>
      <w:r>
        <w:t>die ungewisse Frage, ob und wann ein Sanierungsertrag aus dem Wegfall der Verbindlichkeit entstehen könnte und ob § 3a EStG anwendbar wäre;</w:t>
      </w:r>
    </w:p>
    <w:p>
      <w:pPr>
        <w:pStyle w:val="ListBullet"/>
      </w:pPr>
      <w:r>
        <w:t>die Behandlung des Auflösungsverlustes auf ihrer Privatebene nach § 17 EStG.</w:t>
      </w:r>
    </w:p>
    <w:p/>
    <w:p>
      <w:pPr>
        <w:pStyle w:val="Heading2"/>
      </w:pPr>
      <w:r>
        <w:rPr>
          <w:rFonts w:ascii="Times New Roman" w:hAnsi="Times New Roman"/>
        </w:rPr>
        <w:t>Schlussvermerk</w:t>
      </w:r>
    </w:p>
    <w:p>
      <w:pPr>
        <w:jc w:val="left"/>
      </w:pPr>
      <w:r>
        <w:t>Vorgelesen, von der Erschienenen genehmigt und eigenhändig unterschrieben.</w:t>
      </w:r>
    </w:p>
    <w:p>
      <w:pPr>
        <w:jc w:val="left"/>
      </w:pPr>
      <w:r>
        <w:t>Berlin, den 15. April 2026</w:t>
      </w:r>
    </w:p>
    <w:p>
      <w:pPr>
        <w:jc w:val="left"/>
      </w:pPr>
      <w:r>
        <w:rPr>
          <w:b/>
        </w:rPr>
        <w:t>Helene Strassburger-Wittenburg</w:t>
      </w:r>
      <w:r>
        <w:t xml:space="preserve"> (Alleingesellschafterin / Liquidatorin)</w:t>
      </w:r>
    </w:p>
    <w:p>
      <w:pPr>
        <w:jc w:val="left"/>
      </w:pPr>
      <w:r>
        <w:rPr>
          <w:b/>
        </w:rPr>
        <w:t>Dr. Anna Birke</w:t>
      </w:r>
      <w:r>
        <w:t xml:space="preserve"> (Notarin, UR-Nr. 188/2026, beglaubigt)</w:t>
      </w:r>
    </w:p>
    <w:p/>
    <w:p>
      <w:pPr>
        <w:pStyle w:val="Heading2"/>
      </w:pPr>
      <w:r>
        <w:rPr>
          <w:rFonts w:ascii="Times New Roman" w:hAnsi="Times New Roman"/>
        </w:rPr>
        <w:t>Hinweis für Bearbeitung</w:t>
      </w:r>
    </w:p>
    <w:p>
      <w:pPr>
        <w:pStyle w:val="ListBullet"/>
      </w:pPr>
      <w:r>
        <w:t xml:space="preserve">Notarielle Beurkundung ist </w:t>
      </w:r>
      <w:r>
        <w:rPr>
          <w:b/>
        </w:rPr>
        <w:t>nicht zwingend</w:t>
      </w:r>
      <w:r>
        <w:t xml:space="preserve"> für den Auflösungsbeschluss (§ 60 GmbHG); die Bestellung der Liquidatorin durch den Gesellschafter ist formfrei (§ 66 GmbHG). Die hier gewählte notarielle Beurkundung dient Beweissicherheit und ermöglicht die zugleich vorgenommene </w:t>
      </w:r>
      <w:r>
        <w:rPr>
          <w:b/>
        </w:rPr>
        <w:t>öffentlich beglaubigte Handelsregister-Anmeldung</w:t>
      </w:r>
      <w:r>
        <w:t xml:space="preserve"> (§ 12 HGB, § 78 GmbHG).</w:t>
      </w:r>
    </w:p>
    <w:p>
      <w:pPr>
        <w:pStyle w:val="ListBullet"/>
      </w:pPr>
      <w:r>
        <w:t>Die Anmeldung bei AG Charlottenburg ist zu zeichnen durch die Liquidatorin in öffentlich beglaubigter Form. Vorlage in Aktenstück 03.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Strassburger Handelshof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Strassburger Handelshof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