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04 Liquidations-Eröffnungsbilanz zum 15.04.2026</w:t>
      </w:r>
    </w:p>
    <w:p>
      <w:pPr>
        <w:jc w:val="left"/>
      </w:pPr>
      <w:r>
        <w:rPr>
          <w:b/>
        </w:rPr>
        <w:t>Strassburger Handelshof GmbH i.L.</w:t>
      </w:r>
    </w:p>
    <w:p>
      <w:pPr>
        <w:jc w:val="left"/>
      </w:pPr>
      <w:r>
        <w:rPr>
          <w:b/>
        </w:rPr>
        <w:t>Liquidations-Eröffnungsbilanz zum 15.04.2026</w:t>
      </w:r>
    </w:p>
    <w:p>
      <w:pPr>
        <w:jc w:val="left"/>
      </w:pPr>
      <w:r>
        <w:t>Aufgestellt durch StB Konstantin Werthbruch-Lange (Kanzlei Werthbruch StB) in Abstimmung mit StB/RAin Dr. Cordula Pinneberg-Talheim am 30.04.2026.</w:t>
      </w:r>
    </w:p>
    <w:p>
      <w:pPr>
        <w:jc w:val="left"/>
      </w:pPr>
      <w:r>
        <w:t xml:space="preserve">Rechtsgrundlage: </w:t>
      </w:r>
      <w:r>
        <w:rPr>
          <w:b/>
        </w:rPr>
        <w:t>§ 71 Abs. 1 GmbHG</w:t>
      </w:r>
      <w:r>
        <w:t xml:space="preserve">, </w:t>
      </w:r>
      <w:r>
        <w:rPr>
          <w:b/>
        </w:rPr>
        <w:t>§ 154 InsO</w:t>
      </w:r>
      <w:r>
        <w:t xml:space="preserve"> sinngemäß für Liquidationsverfahren ausserhalb der Insolvenz, </w:t>
      </w:r>
      <w:r>
        <w:rPr>
          <w:b/>
        </w:rPr>
        <w:t>§ 11 Abs. 1, 5 KStG</w:t>
      </w:r>
      <w:r>
        <w:t>.</w:t>
      </w:r>
    </w:p>
    <w:p/>
    <w:p>
      <w:pPr>
        <w:pStyle w:val="Heading2"/>
      </w:pPr>
      <w:r>
        <w:rPr>
          <w:rFonts w:ascii="Times New Roman" w:hAnsi="Times New Roman"/>
        </w:rPr>
        <w:t>1. Aktivseite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Bilanzwert in EUR</w:t>
            </w:r>
          </w:p>
        </w:tc>
      </w:tr>
      <w:tr>
        <w:tc>
          <w:tcPr>
            <w:tcW w:type="dxa" w:w="4536"/>
          </w:tcPr>
          <w:p>
            <w:r>
              <w:rPr>
                <w:rFonts w:ascii="Times New Roman" w:hAnsi="Times New Roman"/>
                <w:b/>
                <w:sz w:val="20"/>
              </w:rPr>
              <w:t>A. Anlagevermögen</w:t>
            </w:r>
          </w:p>
        </w:tc>
        <w:tc>
          <w:tcPr>
            <w:tcW w:type="dxa" w:w="4536"/>
          </w:tcPr>
          <w:p>
            <w:r>
              <w:rPr>
                <w:rFonts w:ascii="Times New Roman" w:hAnsi="Times New Roman"/>
                <w:sz w:val="20"/>
              </w:rPr>
              <w:t>0,00</w:t>
            </w:r>
          </w:p>
        </w:tc>
      </w:tr>
      <w:tr>
        <w:tc>
          <w:tcPr>
            <w:tcW w:type="dxa" w:w="4536"/>
          </w:tcPr>
          <w:p>
            <w:r>
              <w:rPr>
                <w:rFonts w:ascii="Times New Roman" w:hAnsi="Times New Roman"/>
                <w:sz w:val="20"/>
              </w:rPr>
              <w:t>(alle Sachanlagen wurden bis 31.12.2025 veraeussert oder abgeschrieben)</w:t>
            </w:r>
          </w:p>
        </w:tc>
        <w:tc>
          <w:tcPr>
            <w:tcW w:type="dxa" w:w="4536"/>
          </w:tcPr>
          <w:p/>
        </w:tc>
      </w:tr>
      <w:tr>
        <w:tc>
          <w:tcPr>
            <w:tcW w:type="dxa" w:w="4536"/>
          </w:tcPr>
          <w:p>
            <w:r>
              <w:rPr>
                <w:rFonts w:ascii="Times New Roman" w:hAnsi="Times New Roman"/>
                <w:b/>
                <w:sz w:val="20"/>
              </w:rPr>
              <w:t>B. Umlaufvermögen</w:t>
            </w:r>
          </w:p>
        </w:tc>
        <w:tc>
          <w:tcPr>
            <w:tcW w:type="dxa" w:w="4536"/>
          </w:tcPr>
          <w:p>
            <w:r>
              <w:rPr>
                <w:rFonts w:ascii="Times New Roman" w:hAnsi="Times New Roman"/>
                <w:sz w:val="20"/>
              </w:rPr>
              <w:t>300.000,00</w:t>
            </w:r>
          </w:p>
        </w:tc>
      </w:tr>
      <w:tr>
        <w:tc>
          <w:tcPr>
            <w:tcW w:type="dxa" w:w="4536"/>
          </w:tcPr>
          <w:p>
            <w:r>
              <w:rPr>
                <w:rFonts w:ascii="Times New Roman" w:hAnsi="Times New Roman"/>
                <w:sz w:val="20"/>
              </w:rPr>
              <w:t>1. Vorräte (Waren)</w:t>
            </w:r>
          </w:p>
        </w:tc>
        <w:tc>
          <w:tcPr>
            <w:tcW w:type="dxa" w:w="4536"/>
          </w:tcPr>
          <w:p>
            <w:r>
              <w:rPr>
                <w:rFonts w:ascii="Times New Roman" w:hAnsi="Times New Roman"/>
                <w:sz w:val="20"/>
              </w:rPr>
              <w:t>0,00</w:t>
            </w:r>
          </w:p>
        </w:tc>
      </w:tr>
      <w:tr>
        <w:tc>
          <w:tcPr>
            <w:tcW w:type="dxa" w:w="4536"/>
          </w:tcPr>
          <w:p>
            <w:r>
              <w:rPr>
                <w:rFonts w:ascii="Times New Roman" w:hAnsi="Times New Roman"/>
                <w:sz w:val="20"/>
              </w:rPr>
              <w:t>2. Forderungen aus Lieferungen und Leistungen</w:t>
            </w:r>
          </w:p>
        </w:tc>
        <w:tc>
          <w:tcPr>
            <w:tcW w:type="dxa" w:w="4536"/>
          </w:tcPr>
          <w:p>
            <w:r>
              <w:rPr>
                <w:rFonts w:ascii="Times New Roman" w:hAnsi="Times New Roman"/>
                <w:sz w:val="20"/>
              </w:rPr>
              <w:t>60.000,00</w:t>
            </w:r>
          </w:p>
        </w:tc>
      </w:tr>
      <w:tr>
        <w:tc>
          <w:tcPr>
            <w:tcW w:type="dxa" w:w="4536"/>
          </w:tcPr>
          <w:p>
            <w:r>
              <w:rPr>
                <w:rFonts w:ascii="Times New Roman" w:hAnsi="Times New Roman"/>
                <w:sz w:val="20"/>
              </w:rPr>
              <w:t>3. Sonstige Vermögensgegenstände</w:t>
            </w:r>
          </w:p>
        </w:tc>
        <w:tc>
          <w:tcPr>
            <w:tcW w:type="dxa" w:w="4536"/>
          </w:tcPr>
          <w:p>
            <w:r>
              <w:rPr>
                <w:rFonts w:ascii="Times New Roman" w:hAnsi="Times New Roman"/>
                <w:sz w:val="20"/>
              </w:rPr>
              <w:t>0,00</w:t>
            </w:r>
          </w:p>
        </w:tc>
      </w:tr>
      <w:tr>
        <w:tc>
          <w:tcPr>
            <w:tcW w:type="dxa" w:w="4536"/>
          </w:tcPr>
          <w:p>
            <w:r>
              <w:rPr>
                <w:rFonts w:ascii="Times New Roman" w:hAnsi="Times New Roman"/>
                <w:sz w:val="20"/>
              </w:rPr>
              <w:t>4. Kassenbestand, Guthaben Berliner Sparkasse</w:t>
            </w:r>
          </w:p>
        </w:tc>
        <w:tc>
          <w:tcPr>
            <w:tcW w:type="dxa" w:w="4536"/>
          </w:tcPr>
          <w:p>
            <w:r>
              <w:rPr>
                <w:rFonts w:ascii="Times New Roman" w:hAnsi="Times New Roman"/>
                <w:sz w:val="20"/>
              </w:rPr>
              <w:t>240.000,00</w:t>
            </w:r>
          </w:p>
        </w:tc>
      </w:tr>
      <w:tr>
        <w:tc>
          <w:tcPr>
            <w:tcW w:type="dxa" w:w="4536"/>
          </w:tcPr>
          <w:p>
            <w:r>
              <w:rPr>
                <w:rFonts w:ascii="Times New Roman" w:hAnsi="Times New Roman"/>
                <w:b/>
                <w:sz w:val="20"/>
              </w:rPr>
              <w:t>C. Rechnungsabgrenzungsposten</w:t>
            </w:r>
          </w:p>
        </w:tc>
        <w:tc>
          <w:tcPr>
            <w:tcW w:type="dxa" w:w="4536"/>
          </w:tcPr>
          <w:p>
            <w:r>
              <w:rPr>
                <w:rFonts w:ascii="Times New Roman" w:hAnsi="Times New Roman"/>
                <w:sz w:val="20"/>
              </w:rPr>
              <w:t>0,00</w:t>
            </w:r>
          </w:p>
        </w:tc>
      </w:tr>
      <w:tr>
        <w:tc>
          <w:tcPr>
            <w:tcW w:type="dxa" w:w="4536"/>
          </w:tcPr>
          <w:p>
            <w:r>
              <w:rPr>
                <w:rFonts w:ascii="Times New Roman" w:hAnsi="Times New Roman"/>
                <w:b/>
                <w:sz w:val="20"/>
              </w:rPr>
              <w:t>Summe Aktiva</w:t>
            </w:r>
          </w:p>
        </w:tc>
        <w:tc>
          <w:tcPr>
            <w:tcW w:type="dxa" w:w="4536"/>
          </w:tcPr>
          <w:p>
            <w:r>
              <w:rPr>
                <w:rFonts w:ascii="Times New Roman" w:hAnsi="Times New Roman"/>
                <w:b/>
                <w:sz w:val="20"/>
              </w:rPr>
              <w:t>300.000,00</w:t>
            </w:r>
          </w:p>
        </w:tc>
      </w:tr>
    </w:tbl>
    <w:p>
      <w:pPr>
        <w:pStyle w:val="Heading3"/>
      </w:pPr>
      <w:r>
        <w:rPr>
          <w:rFonts w:ascii="Times New Roman" w:hAnsi="Times New Roman"/>
        </w:rPr>
        <w:t>Erläuterungen</w:t>
      </w:r>
    </w:p>
    <w:p>
      <w:pPr>
        <w:pStyle w:val="ListBullet"/>
      </w:pPr>
      <w:r>
        <w:rPr>
          <w:b/>
        </w:rPr>
        <w:t>Vorräte:</w:t>
      </w:r>
      <w:r>
        <w:t xml:space="preserve"> Lagerbestand seit 31.12.2025 vollständig abverkauft (letzte Sammellieferung 17.12.2025 an Boutique-Verbund Mode Mittelstand GmbH Stuttgart). Abwertung in der Bilanz 2025 bereits erfolgt; in der Liquidations-Eröffnungsbilanz mit 0,00 angesetzt.</w:t>
      </w:r>
    </w:p>
    <w:p>
      <w:pPr>
        <w:pStyle w:val="ListBullet"/>
      </w:pPr>
      <w:r>
        <w:rPr>
          <w:b/>
        </w:rPr>
        <w:t>Forderungen L+L:</w:t>
      </w:r>
      <w:r>
        <w:t xml:space="preserve"> 60.000,00 EUR. Davon 38.000 EUR Boutique Mode Mittelstand GmbH Stuttgart (Fälligkeit 15.05.2026), 22.000 EUR Restposten aus dem Inkasso-Verfahren gegen Boutique Hartog (Wien); Werthaltigkeit unstrittig.</w:t>
      </w:r>
    </w:p>
    <w:p>
      <w:pPr>
        <w:pStyle w:val="ListBullet"/>
      </w:pPr>
      <w:r>
        <w:rPr>
          <w:b/>
        </w:rPr>
        <w:t>Sachanlagen 0,00 EUR:</w:t>
      </w:r>
      <w:r>
        <w:t xml:space="preserve"> Büro in Mommsenstrasse 71a ist gemietet (Vertrag bereits zum 30.06.2026 gekündigt; Restmiete 18.000 EUR in den Lieferantenverbindlichkeiten enthalten). Computer und Büromöbel wurden Q1 2026 entsorgt oder zum symbolischen Wert verkauft.</w:t>
      </w:r>
    </w:p>
    <w:p/>
    <w:p>
      <w:pPr>
        <w:pStyle w:val="Heading2"/>
      </w:pPr>
      <w:r>
        <w:rPr>
          <w:rFonts w:ascii="Times New Roman" w:hAnsi="Times New Roman"/>
        </w:rPr>
        <w:t>2. Passivseite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Bilanzwert in EUR</w:t>
            </w:r>
          </w:p>
        </w:tc>
      </w:tr>
      <w:tr>
        <w:tc>
          <w:tcPr>
            <w:tcW w:type="dxa" w:w="4536"/>
          </w:tcPr>
          <w:p>
            <w:r>
              <w:rPr>
                <w:rFonts w:ascii="Times New Roman" w:hAnsi="Times New Roman"/>
                <w:b/>
                <w:sz w:val="20"/>
              </w:rPr>
              <w:t>A. Eigenkapital</w:t>
            </w:r>
          </w:p>
        </w:tc>
        <w:tc>
          <w:tcPr>
            <w:tcW w:type="dxa" w:w="4536"/>
          </w:tcPr>
          <w:p>
            <w:r>
              <w:rPr>
                <w:rFonts w:ascii="Times New Roman" w:hAnsi="Times New Roman"/>
                <w:sz w:val="20"/>
              </w:rPr>
              <w:t>– 2.525.000,00</w:t>
            </w:r>
          </w:p>
        </w:tc>
      </w:tr>
      <w:tr>
        <w:tc>
          <w:tcPr>
            <w:tcW w:type="dxa" w:w="4536"/>
          </w:tcPr>
          <w:p>
            <w:r>
              <w:rPr>
                <w:rFonts w:ascii="Times New Roman" w:hAnsi="Times New Roman"/>
                <w:sz w:val="20"/>
              </w:rPr>
              <w:t>1. Gezeichnetes Kapital (Stammkapital)</w:t>
            </w:r>
          </w:p>
        </w:tc>
        <w:tc>
          <w:tcPr>
            <w:tcW w:type="dxa" w:w="4536"/>
          </w:tcPr>
          <w:p>
            <w:r>
              <w:rPr>
                <w:rFonts w:ascii="Times New Roman" w:hAnsi="Times New Roman"/>
                <w:sz w:val="20"/>
              </w:rPr>
              <w:t>25.000,00</w:t>
            </w:r>
          </w:p>
        </w:tc>
      </w:tr>
      <w:tr>
        <w:tc>
          <w:tcPr>
            <w:tcW w:type="dxa" w:w="4536"/>
          </w:tcPr>
          <w:p>
            <w:r>
              <w:rPr>
                <w:rFonts w:ascii="Times New Roman" w:hAnsi="Times New Roman"/>
                <w:sz w:val="20"/>
              </w:rPr>
              <w:t>2. Kapitalrücklage</w:t>
            </w:r>
          </w:p>
        </w:tc>
        <w:tc>
          <w:tcPr>
            <w:tcW w:type="dxa" w:w="4536"/>
          </w:tcPr>
          <w:p>
            <w:r>
              <w:rPr>
                <w:rFonts w:ascii="Times New Roman" w:hAnsi="Times New Roman"/>
                <w:sz w:val="20"/>
              </w:rPr>
              <w:t>0,00</w:t>
            </w:r>
          </w:p>
        </w:tc>
      </w:tr>
      <w:tr>
        <w:tc>
          <w:tcPr>
            <w:tcW w:type="dxa" w:w="4536"/>
          </w:tcPr>
          <w:p>
            <w:r>
              <w:rPr>
                <w:rFonts w:ascii="Times New Roman" w:hAnsi="Times New Roman"/>
                <w:sz w:val="20"/>
              </w:rPr>
              <w:t>3. Gewinnrücklage</w:t>
            </w:r>
          </w:p>
        </w:tc>
        <w:tc>
          <w:tcPr>
            <w:tcW w:type="dxa" w:w="4536"/>
          </w:tcPr>
          <w:p>
            <w:r>
              <w:rPr>
                <w:rFonts w:ascii="Times New Roman" w:hAnsi="Times New Roman"/>
                <w:sz w:val="20"/>
              </w:rPr>
              <w:t>0,00</w:t>
            </w:r>
          </w:p>
        </w:tc>
      </w:tr>
      <w:tr>
        <w:tc>
          <w:tcPr>
            <w:tcW w:type="dxa" w:w="4536"/>
          </w:tcPr>
          <w:p>
            <w:r>
              <w:rPr>
                <w:rFonts w:ascii="Times New Roman" w:hAnsi="Times New Roman"/>
                <w:sz w:val="20"/>
              </w:rPr>
              <w:t>4. Verlustvortrag</w:t>
            </w:r>
          </w:p>
        </w:tc>
        <w:tc>
          <w:tcPr>
            <w:tcW w:type="dxa" w:w="4536"/>
          </w:tcPr>
          <w:p>
            <w:r>
              <w:rPr>
                <w:rFonts w:ascii="Times New Roman" w:hAnsi="Times New Roman"/>
                <w:sz w:val="20"/>
              </w:rPr>
              <w:t>– 2.525.000,00</w:t>
            </w:r>
          </w:p>
        </w:tc>
      </w:tr>
      <w:tr>
        <w:tc>
          <w:tcPr>
            <w:tcW w:type="dxa" w:w="4536"/>
          </w:tcPr>
          <w:p>
            <w:r>
              <w:rPr>
                <w:rFonts w:ascii="Times New Roman" w:hAnsi="Times New Roman"/>
                <w:sz w:val="20"/>
              </w:rPr>
              <w:t>5. Jahresüberschuss / Jahresfehlbetrag</w:t>
            </w:r>
          </w:p>
        </w:tc>
        <w:tc>
          <w:tcPr>
            <w:tcW w:type="dxa" w:w="4536"/>
          </w:tcPr>
          <w:p>
            <w:r>
              <w:rPr>
                <w:rFonts w:ascii="Times New Roman" w:hAnsi="Times New Roman"/>
                <w:sz w:val="20"/>
              </w:rPr>
              <w:t>0,00</w:t>
            </w:r>
          </w:p>
        </w:tc>
      </w:tr>
      <w:tr>
        <w:tc>
          <w:tcPr>
            <w:tcW w:type="dxa" w:w="4536"/>
          </w:tcPr>
          <w:p>
            <w:r>
              <w:rPr>
                <w:rFonts w:ascii="Times New Roman" w:hAnsi="Times New Roman"/>
                <w:b/>
                <w:sz w:val="20"/>
              </w:rPr>
              <w:t>B. Rückstellungen</w:t>
            </w:r>
          </w:p>
        </w:tc>
        <w:tc>
          <w:tcPr>
            <w:tcW w:type="dxa" w:w="4536"/>
          </w:tcPr>
          <w:p>
            <w:r>
              <w:rPr>
                <w:rFonts w:ascii="Times New Roman" w:hAnsi="Times New Roman"/>
                <w:sz w:val="20"/>
              </w:rPr>
              <w:t>25.000,00</w:t>
            </w:r>
          </w:p>
        </w:tc>
      </w:tr>
      <w:tr>
        <w:tc>
          <w:tcPr>
            <w:tcW w:type="dxa" w:w="4536"/>
          </w:tcPr>
          <w:p>
            <w:r>
              <w:rPr>
                <w:rFonts w:ascii="Times New Roman" w:hAnsi="Times New Roman"/>
                <w:sz w:val="20"/>
              </w:rPr>
              <w:t>1. Rückstellungen für Sozialpläne und Abfindungen</w:t>
            </w:r>
          </w:p>
        </w:tc>
        <w:tc>
          <w:tcPr>
            <w:tcW w:type="dxa" w:w="4536"/>
          </w:tcPr>
          <w:p>
            <w:r>
              <w:rPr>
                <w:rFonts w:ascii="Times New Roman" w:hAnsi="Times New Roman"/>
                <w:sz w:val="20"/>
              </w:rPr>
              <w:t>18.000,00</w:t>
            </w:r>
          </w:p>
        </w:tc>
      </w:tr>
      <w:tr>
        <w:tc>
          <w:tcPr>
            <w:tcW w:type="dxa" w:w="4536"/>
          </w:tcPr>
          <w:p>
            <w:r>
              <w:rPr>
                <w:rFonts w:ascii="Times New Roman" w:hAnsi="Times New Roman"/>
                <w:sz w:val="20"/>
              </w:rPr>
              <w:t>2. Sonstige Rückstellungen (Abschluss, Liquidationskosten)</w:t>
            </w:r>
          </w:p>
        </w:tc>
        <w:tc>
          <w:tcPr>
            <w:tcW w:type="dxa" w:w="4536"/>
          </w:tcPr>
          <w:p>
            <w:r>
              <w:rPr>
                <w:rFonts w:ascii="Times New Roman" w:hAnsi="Times New Roman"/>
                <w:sz w:val="20"/>
              </w:rPr>
              <w:t>7.000,00</w:t>
            </w:r>
          </w:p>
        </w:tc>
      </w:tr>
      <w:tr>
        <w:tc>
          <w:tcPr>
            <w:tcW w:type="dxa" w:w="4536"/>
          </w:tcPr>
          <w:p>
            <w:r>
              <w:rPr>
                <w:rFonts w:ascii="Times New Roman" w:hAnsi="Times New Roman"/>
                <w:b/>
                <w:sz w:val="20"/>
              </w:rPr>
              <w:t>C. Verbindlichkeiten</w:t>
            </w:r>
          </w:p>
        </w:tc>
        <w:tc>
          <w:tcPr>
            <w:tcW w:type="dxa" w:w="4536"/>
          </w:tcPr>
          <w:p>
            <w:r>
              <w:rPr>
                <w:rFonts w:ascii="Times New Roman" w:hAnsi="Times New Roman"/>
                <w:sz w:val="20"/>
              </w:rPr>
              <w:t>2.800.000,00</w:t>
            </w:r>
          </w:p>
        </w:tc>
      </w:tr>
      <w:tr>
        <w:tc>
          <w:tcPr>
            <w:tcW w:type="dxa" w:w="4536"/>
          </w:tcPr>
          <w:p>
            <w:r>
              <w:rPr>
                <w:rFonts w:ascii="Times New Roman" w:hAnsi="Times New Roman"/>
                <w:sz w:val="20"/>
              </w:rPr>
              <w:t>1. Verbindlichkeiten aus Lieferungen und Leistungen</w:t>
            </w:r>
          </w:p>
        </w:tc>
        <w:tc>
          <w:tcPr>
            <w:tcW w:type="dxa" w:w="4536"/>
          </w:tcPr>
          <w:p>
            <w:r>
              <w:rPr>
                <w:rFonts w:ascii="Times New Roman" w:hAnsi="Times New Roman"/>
                <w:sz w:val="20"/>
              </w:rPr>
              <w:t>120.000,00</w:t>
            </w:r>
          </w:p>
        </w:tc>
      </w:tr>
      <w:tr>
        <w:tc>
          <w:tcPr>
            <w:tcW w:type="dxa" w:w="4536"/>
          </w:tcPr>
          <w:p>
            <w:r>
              <w:rPr>
                <w:rFonts w:ascii="Times New Roman" w:hAnsi="Times New Roman"/>
                <w:sz w:val="20"/>
              </w:rPr>
              <w:t>2. Verbindlichkeiten Löhne / SV-Beiträge</w:t>
            </w:r>
          </w:p>
        </w:tc>
        <w:tc>
          <w:tcPr>
            <w:tcW w:type="dxa" w:w="4536"/>
          </w:tcPr>
          <w:p>
            <w:r>
              <w:rPr>
                <w:rFonts w:ascii="Times New Roman" w:hAnsi="Times New Roman"/>
                <w:sz w:val="20"/>
              </w:rPr>
              <w:t>120.000,00</w:t>
            </w:r>
          </w:p>
        </w:tc>
      </w:tr>
      <w:tr>
        <w:tc>
          <w:tcPr>
            <w:tcW w:type="dxa" w:w="4536"/>
          </w:tcPr>
          <w:p>
            <w:r>
              <w:rPr>
                <w:rFonts w:ascii="Times New Roman" w:hAnsi="Times New Roman"/>
                <w:sz w:val="20"/>
              </w:rPr>
              <w:t>3. Steuerschulden FA Berlin-Charlottenburg (gestundet)</w:t>
            </w:r>
          </w:p>
        </w:tc>
        <w:tc>
          <w:tcPr>
            <w:tcW w:type="dxa" w:w="4536"/>
          </w:tcPr>
          <w:p>
            <w:r>
              <w:rPr>
                <w:rFonts w:ascii="Times New Roman" w:hAnsi="Times New Roman"/>
                <w:sz w:val="20"/>
              </w:rPr>
              <w:t>160.000,00</w:t>
            </w:r>
          </w:p>
        </w:tc>
      </w:tr>
      <w:tr>
        <w:tc>
          <w:tcPr>
            <w:tcW w:type="dxa" w:w="4536"/>
          </w:tcPr>
          <w:p>
            <w:r>
              <w:rPr>
                <w:rFonts w:ascii="Times New Roman" w:hAnsi="Times New Roman"/>
                <w:sz w:val="20"/>
              </w:rPr>
              <w:t xml:space="preserve">4. </w:t>
            </w:r>
            <w:r>
              <w:rPr>
                <w:rFonts w:ascii="Times New Roman" w:hAnsi="Times New Roman"/>
                <w:b/>
                <w:sz w:val="20"/>
              </w:rPr>
              <w:t>Gesellschafterdarlehen Helene Strassburger-Wittenburg</w:t>
            </w:r>
            <w:r>
              <w:rPr>
                <w:rFonts w:ascii="Times New Roman" w:hAnsi="Times New Roman"/>
                <w:sz w:val="20"/>
              </w:rPr>
              <w:t xml:space="preserve"> (qualifizierter Rangrücktritt vom 14.03.2021)</w:t>
            </w:r>
          </w:p>
        </w:tc>
        <w:tc>
          <w:tcPr>
            <w:tcW w:type="dxa" w:w="4536"/>
          </w:tcPr>
          <w:p>
            <w:r>
              <w:rPr>
                <w:rFonts w:ascii="Times New Roman" w:hAnsi="Times New Roman"/>
                <w:b/>
                <w:sz w:val="20"/>
              </w:rPr>
              <w:t>2.400.000,00</w:t>
            </w:r>
          </w:p>
        </w:tc>
      </w:tr>
      <w:tr>
        <w:tc>
          <w:tcPr>
            <w:tcW w:type="dxa" w:w="4536"/>
          </w:tcPr>
          <w:p>
            <w:r>
              <w:rPr>
                <w:rFonts w:ascii="Times New Roman" w:hAnsi="Times New Roman"/>
                <w:b/>
                <w:sz w:val="20"/>
              </w:rPr>
              <w:t>D. Rechnungsabgrenzungsposten</w:t>
            </w:r>
          </w:p>
        </w:tc>
        <w:tc>
          <w:tcPr>
            <w:tcW w:type="dxa" w:w="4536"/>
          </w:tcPr>
          <w:p>
            <w:r>
              <w:rPr>
                <w:rFonts w:ascii="Times New Roman" w:hAnsi="Times New Roman"/>
                <w:sz w:val="20"/>
              </w:rPr>
              <w:t>0,00</w:t>
            </w:r>
          </w:p>
        </w:tc>
      </w:tr>
      <w:tr>
        <w:tc>
          <w:tcPr>
            <w:tcW w:type="dxa" w:w="4536"/>
          </w:tcPr>
          <w:p>
            <w:r>
              <w:rPr>
                <w:rFonts w:ascii="Times New Roman" w:hAnsi="Times New Roman"/>
                <w:b/>
                <w:sz w:val="20"/>
              </w:rPr>
              <w:t>Summe Passiva</w:t>
            </w:r>
          </w:p>
        </w:tc>
        <w:tc>
          <w:tcPr>
            <w:tcW w:type="dxa" w:w="4536"/>
          </w:tcPr>
          <w:p>
            <w:r>
              <w:rPr>
                <w:rFonts w:ascii="Times New Roman" w:hAnsi="Times New Roman"/>
                <w:b/>
                <w:sz w:val="20"/>
              </w:rPr>
              <w:t>300.000,00</w:t>
            </w:r>
          </w:p>
        </w:tc>
      </w:tr>
    </w:tbl>
    <w:p>
      <w:pPr>
        <w:jc w:val="left"/>
      </w:pPr>
      <w:r>
        <w:t>(Die Summe ergibt sich aus der Verrechnung: 25.000 EUR – 2.525.000 EUR + 25.000 EUR + 2.800.000 EUR = 325.000 EUR. Differenz von 25.000 EUR siehe Erläuterung Eigenkapital — Stammkapital ist Bestandteil des saldierten Negativ-Eigenkapitals, daher mathematisch 300.000 EUR.)</w:t>
      </w:r>
    </w:p>
    <w:p>
      <w:pPr>
        <w:pStyle w:val="Heading3"/>
      </w:pPr>
      <w:r>
        <w:rPr>
          <w:rFonts w:ascii="Times New Roman" w:hAnsi="Times New Roman"/>
        </w:rPr>
        <w:t>Erläuterungen Passiva</w:t>
      </w:r>
    </w:p>
    <w:p>
      <w:pPr>
        <w:pStyle w:val="ListBullet"/>
      </w:pPr>
      <w:r>
        <w:rPr>
          <w:b/>
        </w:rPr>
        <w:t>Verlustvortrag – 2.525.000 EUR:</w:t>
      </w:r>
      <w:r>
        <w:t xml:space="preserve"> kumulierte Verluste seit 2020. Aufschlüsselung: 2020: – 380k, 2021: – 460k, 2022: – 410k, 2023: – 590k, 2024: – 520k, 2025: – 165k. Vortrag steuerlich (KSt) zum 31.12.2025: – 2.380.000 EUR (laut letzter KSt-Erklärung); Differenz zur HGB-Bilanz beruht auf Bewertungsdivergenzen (Vorratsabwertung in 2024 nach HGB schärfer als nach Steuerrecht). </w:t>
      </w:r>
      <w:r>
        <w:rPr>
          <w:b/>
        </w:rPr>
        <w:t>Steuerlicher Verlustvortrag KSt zum 15.04.2026 vorläufig: 2.380.000 EUR.</w:t>
      </w:r>
    </w:p>
    <w:p>
      <w:pPr>
        <w:pStyle w:val="ListBullet"/>
      </w:pPr>
      <w:r>
        <w:rPr>
          <w:b/>
        </w:rPr>
        <w:t>Gesellschafterdarlehen 2.400.000 EUR:</w:t>
      </w:r>
      <w:r>
        <w:t xml:space="preserve"> Darlehensvertrag vom 12.11.2018 über 1,8 Mio. EUR (Erstvalutierung 14.11.2018, 600k); Aufstockung 14.03.2021 um 600k (Tranche 14.03.2021, 200k; Tranche 30.06.2021, 200k; Tranche 31.10.2021, 200k); seit 14.03.2021 mit </w:t>
      </w:r>
      <w:r>
        <w:rPr>
          <w:b/>
        </w:rPr>
        <w:t>qualifiziertem Rangrücktritt mit Tilgungsvorbehalt aus freiem Vermögen</w:t>
      </w:r>
      <w:r>
        <w:t>, schriftlich vereinbart (Aktenstück 05). Zinsen 0,00 EUR p.a. (vereinbart). Bis 15.04.2026 keine Tilgungen geleistet.</w:t>
      </w:r>
    </w:p>
    <w:p/>
    <w:p>
      <w:pPr>
        <w:pStyle w:val="Heading2"/>
      </w:pPr>
      <w:r>
        <w:rPr>
          <w:rFonts w:ascii="Times New Roman" w:hAnsi="Times New Roman"/>
        </w:rPr>
        <w:t>3. Saldenposition für Bilanzanalyse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Prüfkriterium</w:t>
            </w:r>
          </w:p>
        </w:tc>
        <w:tc>
          <w:tcPr>
            <w:tcW w:type="dxa" w:w="3024"/>
          </w:tcPr>
          <w:p>
            <w:r>
              <w:rPr>
                <w:rFonts w:ascii="Times New Roman" w:hAnsi="Times New Roman"/>
                <w:b/>
                <w:sz w:val="20"/>
              </w:rPr>
              <w:t>Stand</w:t>
            </w:r>
          </w:p>
        </w:tc>
        <w:tc>
          <w:tcPr>
            <w:tcW w:type="dxa" w:w="3024"/>
          </w:tcPr>
          <w:p>
            <w:r>
              <w:rPr>
                <w:rFonts w:ascii="Times New Roman" w:hAnsi="Times New Roman"/>
                <w:b/>
                <w:sz w:val="20"/>
              </w:rPr>
              <w:t>Bewertung</w:t>
            </w:r>
          </w:p>
        </w:tc>
      </w:tr>
      <w:tr>
        <w:tc>
          <w:tcPr>
            <w:tcW w:type="dxa" w:w="3024"/>
          </w:tcPr>
          <w:p>
            <w:r>
              <w:rPr>
                <w:rFonts w:ascii="Times New Roman" w:hAnsi="Times New Roman"/>
                <w:sz w:val="20"/>
              </w:rPr>
              <w:t>Aktiva</w:t>
            </w:r>
          </w:p>
        </w:tc>
        <w:tc>
          <w:tcPr>
            <w:tcW w:type="dxa" w:w="3024"/>
          </w:tcPr>
          <w:p>
            <w:r>
              <w:rPr>
                <w:rFonts w:ascii="Times New Roman" w:hAnsi="Times New Roman"/>
                <w:sz w:val="20"/>
              </w:rPr>
              <w:t>300.000 EUR</w:t>
            </w:r>
          </w:p>
        </w:tc>
        <w:tc>
          <w:tcPr>
            <w:tcW w:type="dxa" w:w="3024"/>
          </w:tcPr>
          <w:p>
            <w:r>
              <w:rPr>
                <w:rFonts w:ascii="Times New Roman" w:hAnsi="Times New Roman"/>
                <w:sz w:val="20"/>
              </w:rPr>
              <w:t>erfüllbar</w:t>
            </w:r>
          </w:p>
        </w:tc>
      </w:tr>
      <w:tr>
        <w:tc>
          <w:tcPr>
            <w:tcW w:type="dxa" w:w="3024"/>
          </w:tcPr>
          <w:p>
            <w:r>
              <w:rPr>
                <w:rFonts w:ascii="Times New Roman" w:hAnsi="Times New Roman"/>
                <w:sz w:val="20"/>
              </w:rPr>
              <w:t xml:space="preserve">Verbindlichkeiten </w:t>
            </w:r>
            <w:r>
              <w:rPr>
                <w:rFonts w:ascii="Times New Roman" w:hAnsi="Times New Roman"/>
                <w:b/>
                <w:sz w:val="20"/>
              </w:rPr>
              <w:t>ohne</w:t>
            </w:r>
            <w:r>
              <w:rPr>
                <w:rFonts w:ascii="Times New Roman" w:hAnsi="Times New Roman"/>
                <w:sz w:val="20"/>
              </w:rPr>
              <w:t xml:space="preserve"> nachr. Darlehen</w:t>
            </w:r>
          </w:p>
        </w:tc>
        <w:tc>
          <w:tcPr>
            <w:tcW w:type="dxa" w:w="3024"/>
          </w:tcPr>
          <w:p>
            <w:r>
              <w:rPr>
                <w:rFonts w:ascii="Times New Roman" w:hAnsi="Times New Roman"/>
                <w:sz w:val="20"/>
              </w:rPr>
              <w:t>400.000 EUR</w:t>
            </w:r>
          </w:p>
        </w:tc>
        <w:tc>
          <w:tcPr>
            <w:tcW w:type="dxa" w:w="3024"/>
          </w:tcPr>
          <w:p>
            <w:r>
              <w:rPr>
                <w:rFonts w:ascii="Times New Roman" w:hAnsi="Times New Roman"/>
                <w:sz w:val="20"/>
              </w:rPr>
              <w:t>übersteigt Aktiva um 100.000 EUR</w:t>
            </w:r>
          </w:p>
        </w:tc>
      </w:tr>
      <w:tr>
        <w:tc>
          <w:tcPr>
            <w:tcW w:type="dxa" w:w="3024"/>
          </w:tcPr>
          <w:p>
            <w:r>
              <w:rPr>
                <w:rFonts w:ascii="Times New Roman" w:hAnsi="Times New Roman"/>
                <w:sz w:val="20"/>
              </w:rPr>
              <w:t xml:space="preserve">Verbindlichkeiten </w:t>
            </w:r>
            <w:r>
              <w:rPr>
                <w:rFonts w:ascii="Times New Roman" w:hAnsi="Times New Roman"/>
                <w:b/>
                <w:sz w:val="20"/>
              </w:rPr>
              <w:t>inkl.</w:t>
            </w:r>
            <w:r>
              <w:rPr>
                <w:rFonts w:ascii="Times New Roman" w:hAnsi="Times New Roman"/>
                <w:sz w:val="20"/>
              </w:rPr>
              <w:t xml:space="preserve"> nachr. Darlehen</w:t>
            </w:r>
          </w:p>
        </w:tc>
        <w:tc>
          <w:tcPr>
            <w:tcW w:type="dxa" w:w="3024"/>
          </w:tcPr>
          <w:p>
            <w:r>
              <w:rPr>
                <w:rFonts w:ascii="Times New Roman" w:hAnsi="Times New Roman"/>
                <w:sz w:val="20"/>
              </w:rPr>
              <w:t>2.800.000 EUR</w:t>
            </w:r>
          </w:p>
        </w:tc>
        <w:tc>
          <w:tcPr>
            <w:tcW w:type="dxa" w:w="3024"/>
          </w:tcPr>
          <w:p>
            <w:r>
              <w:rPr>
                <w:rFonts w:ascii="Times New Roman" w:hAnsi="Times New Roman"/>
                <w:sz w:val="20"/>
              </w:rPr>
              <w:t>übersteigt Aktiva um 2.500.000 EUR</w:t>
            </w:r>
          </w:p>
        </w:tc>
      </w:tr>
      <w:tr>
        <w:tc>
          <w:tcPr>
            <w:tcW w:type="dxa" w:w="3024"/>
          </w:tcPr>
          <w:p>
            <w:r>
              <w:rPr>
                <w:rFonts w:ascii="Times New Roman" w:hAnsi="Times New Roman"/>
                <w:sz w:val="20"/>
              </w:rPr>
              <w:t>Rechnerische Überschuldung (HGB-Bilanz)</w:t>
            </w:r>
          </w:p>
        </w:tc>
        <w:tc>
          <w:tcPr>
            <w:tcW w:type="dxa" w:w="3024"/>
          </w:tcPr>
          <w:p>
            <w:r>
              <w:rPr>
                <w:rFonts w:ascii="Times New Roman" w:hAnsi="Times New Roman"/>
                <w:sz w:val="20"/>
              </w:rPr>
              <w:t>– 2.500.000 EUR</w:t>
            </w:r>
          </w:p>
        </w:tc>
        <w:tc>
          <w:tcPr>
            <w:tcW w:type="dxa" w:w="3024"/>
          </w:tcPr>
          <w:p>
            <w:r>
              <w:rPr>
                <w:rFonts w:ascii="Times New Roman" w:hAnsi="Times New Roman"/>
                <w:sz w:val="20"/>
              </w:rPr>
              <w:t>bilanziell vorhanden</w:t>
            </w:r>
          </w:p>
        </w:tc>
      </w:tr>
      <w:tr>
        <w:tc>
          <w:tcPr>
            <w:tcW w:type="dxa" w:w="3024"/>
          </w:tcPr>
          <w:p>
            <w:r>
              <w:rPr>
                <w:rFonts w:ascii="Times New Roman" w:hAnsi="Times New Roman"/>
                <w:sz w:val="20"/>
              </w:rPr>
              <w:t>Überschuldung i.S.v. § 19 InsO</w:t>
            </w:r>
          </w:p>
        </w:tc>
        <w:tc>
          <w:tcPr>
            <w:tcW w:type="dxa" w:w="3024"/>
          </w:tcPr>
          <w:p>
            <w:r>
              <w:rPr>
                <w:rFonts w:ascii="Times New Roman" w:hAnsi="Times New Roman"/>
                <w:sz w:val="20"/>
              </w:rPr>
              <w:t>Nein</w:t>
            </w:r>
          </w:p>
        </w:tc>
        <w:tc>
          <w:tcPr>
            <w:tcW w:type="dxa" w:w="3024"/>
          </w:tcPr>
          <w:p>
            <w:r>
              <w:rPr>
                <w:rFonts w:ascii="Times New Roman" w:hAnsi="Times New Roman"/>
                <w:sz w:val="20"/>
              </w:rPr>
              <w:t>Rangrücktritt nimmt Darlehen aus Status, § 19 Abs. 2 S. 3 InsO</w:t>
            </w:r>
          </w:p>
        </w:tc>
      </w:tr>
      <w:tr>
        <w:tc>
          <w:tcPr>
            <w:tcW w:type="dxa" w:w="3024"/>
          </w:tcPr>
          <w:p>
            <w:r>
              <w:rPr>
                <w:rFonts w:ascii="Times New Roman" w:hAnsi="Times New Roman"/>
                <w:sz w:val="20"/>
              </w:rPr>
              <w:t>Zahlungsunfähigkeit § 17 InsO</w:t>
            </w:r>
          </w:p>
        </w:tc>
        <w:tc>
          <w:tcPr>
            <w:tcW w:type="dxa" w:w="3024"/>
          </w:tcPr>
          <w:p>
            <w:r>
              <w:rPr>
                <w:rFonts w:ascii="Times New Roman" w:hAnsi="Times New Roman"/>
                <w:sz w:val="20"/>
              </w:rPr>
              <w:t>Nein</w:t>
            </w:r>
          </w:p>
        </w:tc>
        <w:tc>
          <w:tcPr>
            <w:tcW w:type="dxa" w:w="3024"/>
          </w:tcPr>
          <w:p>
            <w:r>
              <w:rPr>
                <w:rFonts w:ascii="Times New Roman" w:hAnsi="Times New Roman"/>
                <w:sz w:val="20"/>
              </w:rPr>
              <w:t>240k Cash + 60k Forderungen reichen für 240k operative Verbindlichkeiten; Steuern gestundet</w:t>
            </w:r>
          </w:p>
        </w:tc>
      </w:tr>
      <w:tr>
        <w:tc>
          <w:tcPr>
            <w:tcW w:type="dxa" w:w="3024"/>
          </w:tcPr>
          <w:p>
            <w:r>
              <w:rPr>
                <w:rFonts w:ascii="Times New Roman" w:hAnsi="Times New Roman"/>
                <w:sz w:val="20"/>
              </w:rPr>
              <w:t>Insolvenzantragspflicht § 15a InsO</w:t>
            </w:r>
          </w:p>
        </w:tc>
        <w:tc>
          <w:tcPr>
            <w:tcW w:type="dxa" w:w="3024"/>
          </w:tcPr>
          <w:p>
            <w:r>
              <w:rPr>
                <w:rFonts w:ascii="Times New Roman" w:hAnsi="Times New Roman"/>
                <w:b/>
                <w:sz w:val="20"/>
              </w:rPr>
              <w:t>Nein</w:t>
            </w:r>
          </w:p>
        </w:tc>
        <w:tc>
          <w:tcPr>
            <w:tcW w:type="dxa" w:w="3024"/>
          </w:tcPr>
          <w:p>
            <w:r>
              <w:rPr>
                <w:rFonts w:ascii="Times New Roman" w:hAnsi="Times New Roman"/>
                <w:sz w:val="20"/>
              </w:rPr>
              <w:t>Kein Insolvenzgrund</w:t>
            </w:r>
          </w:p>
        </w:tc>
      </w:tr>
    </w:tbl>
    <w:p/>
    <w:p>
      <w:pPr>
        <w:pStyle w:val="Heading2"/>
      </w:pPr>
      <w:r>
        <w:rPr>
          <w:rFonts w:ascii="Times New Roman" w:hAnsi="Times New Roman"/>
        </w:rPr>
        <w:t>4. Vermerk der Liquidatorin (§ 71 Abs. 1 GmbHG)</w:t>
      </w:r>
    </w:p>
    <w:p>
      <w:pPr>
        <w:ind w:left="567"/>
      </w:pPr>
      <w:r>
        <w:rPr>
          <w:i/>
        </w:rPr>
        <w:t>Diese Liquidations-Eröffnungsbilanz wurde nach den allgemeinen Grundsätzen ordnungsgemaesser Buchführung (§ 243 HGB), unter Beachtung der Sondervorschriften für aufgelöste Gesellschaften (§ 71 GmbHG), sowie unter Beachtung der steuerlichen Liquidationsbesteuerung (§ 11 KStG) aufgestellt.</w:t>
      </w:r>
    </w:p>
    <w:p>
      <w:pPr>
        <w:ind w:left="567"/>
      </w:pPr>
    </w:p>
    <w:p>
      <w:pPr>
        <w:ind w:left="567"/>
      </w:pPr>
      <w:r>
        <w:rPr>
          <w:i/>
        </w:rPr>
        <w:t>Das Gesellschafterdarlehen über 2,4 Mio. EUR mit qualifiziertem Rangrücktritt vom 14.03.2021 ist als Verbindlichkeit ausgewiesen. Die bilanzielle und steuerliche Behandlung des Darlehens — insbesondere die Pruefung des § 5 Abs. 2a EStG — ist Gegenstand der gesonderten gutachterlichen Pruefung (siehe Aktenstück 06). Die hier gewählte Bilanzierung als Verbindlichkeit erfolgt vorbehaltlich des Ergebnisses dieser Pruefung.</w:t>
      </w:r>
    </w:p>
    <w:p>
      <w:pPr>
        <w:ind w:left="567"/>
      </w:pPr>
    </w:p>
    <w:p>
      <w:pPr>
        <w:ind w:left="567"/>
      </w:pPr>
      <w:r>
        <w:rPr>
          <w:i/>
        </w:rPr>
        <w:t>Es liegen keine Anhaltspunkte für Zahlungsunfähigkeit oder Überschuldung im Sinne des Insolvenzrechts vor. Eine Insolvenzantragspflicht nach § 15a InsO besteht nicht.</w:t>
      </w:r>
    </w:p>
    <w:p>
      <w:pPr>
        <w:ind w:left="567"/>
      </w:pPr>
    </w:p>
    <w:p>
      <w:pPr>
        <w:ind w:left="567"/>
      </w:pPr>
      <w:r>
        <w:rPr>
          <w:i/>
        </w:rPr>
        <w:t>Berlin, den 30. April 2026</w:t>
      </w:r>
    </w:p>
    <w:p>
      <w:pPr>
        <w:ind w:left="567"/>
      </w:pPr>
    </w:p>
    <w:p>
      <w:pPr>
        <w:ind w:left="567"/>
      </w:pPr>
      <w:r>
        <w:rPr>
          <w:i/>
        </w:rPr>
        <w:t>Helene Strassburger-Wittenburg, Liquidatorin</w:t>
      </w:r>
    </w:p>
    <w:p>
      <w:pPr>
        <w:ind w:left="567"/>
      </w:pPr>
      <w:r>
        <w:rPr>
          <w:i/>
        </w:rPr>
        <w:t>Konstantin Werthbruch-Lange, Steuerberater</w:t>
      </w:r>
    </w:p>
    <w:p>
      <w:pPr>
        <w:ind w:left="567"/>
      </w:pPr>
      <w:r>
        <w:rPr>
          <w:i/>
        </w:rPr>
        <w:t>Dr. Cordula Pinneberg-Talheim, StB/RAin (Prüfungsvermerk)</w:t>
      </w:r>
    </w:p>
    <w:p/>
    <w:p>
      <w:pPr>
        <w:pStyle w:val="Heading2"/>
      </w:pPr>
      <w:r>
        <w:rPr>
          <w:rFonts w:ascii="Times New Roman" w:hAnsi="Times New Roman"/>
        </w:rPr>
        <w:t>5. Steuerliche Anlagenprüfung</w:t>
      </w:r>
    </w:p>
    <w:p>
      <w:pPr>
        <w:jc w:val="left"/>
      </w:pPr>
      <w:r>
        <w:t xml:space="preserve">Die Liquidations-Eröffnungsbilanz ist der Liquidations-Steuerbilanz im Sinne des </w:t>
      </w:r>
      <w:r>
        <w:rPr>
          <w:b/>
        </w:rPr>
        <w:t>§ 11 Abs. 3 KStG</w:t>
      </w:r>
      <w:r>
        <w:t xml:space="preserve"> zugrunde zu legen. Die Liquidations-Steuerbilanz wird auf den 15.04.2026 mit denselben Ansätzen aufgestellt, ggf. korrigiert um die Frage der bilanziellen Behandlung des nachrangigen Darlehens (§ 5 Abs. 2a EStG, Aktenstück 06).</w:t>
      </w:r>
    </w:p>
    <w:p>
      <w:pPr>
        <w:jc w:val="left"/>
      </w:pPr>
      <w:r>
        <w:rPr>
          <w:b/>
        </w:rPr>
        <w:t>Wesentliche steuerliche Fragen (zur Klärung):</w:t>
      </w:r>
    </w:p>
    <w:p>
      <w:pPr>
        <w:pStyle w:val="ListNumber"/>
      </w:pPr>
      <w:r>
        <w:t xml:space="preserve">Ist das nachrangige Darlehen in der </w:t>
      </w:r>
      <w:r>
        <w:rPr>
          <w:b/>
        </w:rPr>
        <w:t>Schluss-Steuerbilanz auf den 15.04.2026</w:t>
      </w:r>
      <w:r>
        <w:t xml:space="preserve"> überhaupt zu passivieren (oder führt § 5 Abs. 2a EStG zur Ausbuchung)?</w:t>
      </w:r>
    </w:p>
    <w:p>
      <w:pPr>
        <w:pStyle w:val="ListNumber"/>
      </w:pPr>
      <w:r>
        <w:t xml:space="preserve">Falls Ausbuchung: Entsteht ein steuerlicher Ertrag bereits in der Schluss-Steuerbilanz oder erst in der Liquidations-Eröffnungsbilanz? Praxis: Ausbuchung erfolgt regelmaessig zum </w:t>
      </w:r>
      <w:r>
        <w:rPr>
          <w:b/>
        </w:rPr>
        <w:t>Bilanzstichtag, an dem die Voraussetzungen vorliegen</w:t>
      </w:r>
      <w:r>
        <w:t>, also frühestens zum 31.12.2025 (Schluss-Steuerbilanz vor Liquidationsbeschluss). Hier: Schluss-Steuerbilanz noch nicht aufgestellt; Prüfungsanlass.</w:t>
      </w:r>
    </w:p>
    <w:p>
      <w:pPr>
        <w:pStyle w:val="ListNumber"/>
      </w:pPr>
      <w:r>
        <w:t xml:space="preserve">Greift bei Realisation des Ertrags </w:t>
      </w:r>
      <w:r>
        <w:rPr>
          <w:b/>
        </w:rPr>
        <w:t>§ 3a EStG</w:t>
      </w:r>
      <w:r>
        <w:t xml:space="preserve"> (Steuerfreiheit Sanierungsertrag)? — Aktenstück 11.</w:t>
      </w:r>
    </w:p>
    <w:p/>
    <w:p>
      <w:pPr>
        <w:pStyle w:val="Heading2"/>
      </w:pPr>
      <w:r>
        <w:rPr>
          <w:rFonts w:ascii="Times New Roman" w:hAnsi="Times New Roman"/>
        </w:rPr>
        <w:t>6. Verweise</w:t>
      </w:r>
    </w:p>
    <w:p>
      <w:pPr>
        <w:pStyle w:val="ListBullet"/>
      </w:pPr>
      <w:r>
        <w:t>Bilanzielle Wertansätze und Erläuterungen: Aktenstück 18 (Liquidationsbilanz-Szenarien CSV).</w:t>
      </w:r>
    </w:p>
    <w:p>
      <w:pPr>
        <w:pStyle w:val="ListBullet"/>
      </w:pPr>
      <w:r>
        <w:t>Rangrücktritt: Aktenstück 05.</w:t>
      </w:r>
    </w:p>
    <w:p>
      <w:pPr>
        <w:pStyle w:val="ListBullet"/>
      </w:pPr>
      <w:r>
        <w:t>§ 5 Abs. 2a EStG: Aktenstück 06.</w:t>
      </w:r>
    </w:p>
    <w:p>
      <w:pPr>
        <w:pStyle w:val="ListBullet"/>
      </w:pPr>
      <w:r>
        <w:t>Gläubigerbefriedigung: Aktenstück 17.</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Strassburger Handelshof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Strassburger Handelshof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