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Szenario A — Darlehen bleibt passiviert bis zur Löschung</w:t>
      </w:r>
    </w:p>
    <w:p>
      <w:pPr>
        <w:jc w:val="left"/>
      </w:pPr>
      <w:r>
        <w:rPr>
          <w:b/>
        </w:rPr>
        <w:t>Verfasserin:</w:t>
      </w:r>
      <w:r>
        <w:t xml:space="preserve"> StB/RAin Dr. Cordula Pinneberg-Talheim</w:t>
      </w:r>
    </w:p>
    <w:p>
      <w:pPr>
        <w:jc w:val="left"/>
      </w:pPr>
      <w:r>
        <w:rPr>
          <w:b/>
        </w:rPr>
        <w:t>Datum:</w:t>
      </w:r>
      <w:r>
        <w:t xml:space="preserve"> 25.05.2026</w:t>
      </w:r>
    </w:p>
    <w:p>
      <w:pPr>
        <w:jc w:val="left"/>
      </w:pPr>
      <w:r>
        <w:rPr>
          <w:b/>
        </w:rPr>
        <w:t>Mandantin:</w:t>
      </w:r>
      <w:r>
        <w:t xml:space="preserve"> Strassburger Handelshof GmbH i. L., HRB 188742 B AG Charlottenburg</w:t>
      </w:r>
    </w:p>
    <w:p>
      <w:pPr>
        <w:jc w:val="left"/>
      </w:pPr>
      <w:r>
        <w:rPr>
          <w:b/>
        </w:rPr>
        <w:t>Aktenzeichen Kanzlei:</w:t>
      </w:r>
      <w:r>
        <w:t xml:space="preserve"> PE-2026-LIQ-0188 / Szenario A</w:t>
      </w:r>
    </w:p>
    <w:p/>
    <w:p>
      <w:pPr>
        <w:pStyle w:val="Heading2"/>
      </w:pPr>
      <w:r>
        <w:rPr>
          <w:rFonts w:ascii="Times New Roman" w:hAnsi="Times New Roman"/>
        </w:rPr>
        <w:t>1. Sachverhalt (verkürzt)</w:t>
      </w:r>
    </w:p>
    <w:p>
      <w:pPr>
        <w:jc w:val="left"/>
      </w:pPr>
      <w:r>
        <w:t>Das Gesellschafterdarlehen der Frau Strassburger-Wittenburg in Höhe von 2.400.000 EUR ist mit qualifiziertem Rangrücktritt versehen (Akte 05). Die Gesellschafterin hat erklärt, sie werde die Darlehensforderung während der Liquidation nicht erlassen, sich aber faktisch auch nicht aktiv aus dem Liquidationserlös befriedigen können (Aktiva nach Gläubigerbefriedigung verbleiben in der Hauptsache nicht). In Szenario A bleibt das Darlehen bis zum Loeschungszeitpunkt bilanziell als Verbindlichkeit ausgewiesen.</w:t>
      </w:r>
    </w:p>
    <w:p>
      <w:pPr>
        <w:pStyle w:val="Heading2"/>
      </w:pPr>
      <w:r>
        <w:rPr>
          <w:rFonts w:ascii="Times New Roman" w:hAnsi="Times New Roman"/>
        </w:rPr>
        <w:t>2. Frage</w:t>
      </w:r>
    </w:p>
    <w:p>
      <w:pPr>
        <w:jc w:val="left"/>
      </w:pPr>
      <w:r>
        <w:t>Welche steuerlichen Folgen hat die Konstellation, in der die Verbindlichkeit bis zur Löschung der GmbH passiviert bleibt — entsteht überhaupt ein Sanierungsgewinn, und ist dieser steuerpflichtig?</w:t>
      </w:r>
    </w:p>
    <w:p>
      <w:pPr>
        <w:pStyle w:val="Heading2"/>
      </w:pPr>
      <w:r>
        <w:rPr>
          <w:rFonts w:ascii="Times New Roman" w:hAnsi="Times New Roman"/>
        </w:rPr>
        <w:t>3. Kurzantwort</w:t>
      </w:r>
    </w:p>
    <w:p>
      <w:pPr>
        <w:jc w:val="left"/>
      </w:pPr>
      <w:r>
        <w:t xml:space="preserve">Nein, in dieser Konstellation entsteht ein steuerpflichtiger Sanierungsgewinn faktisch nicht: Mit der Löschung der GmbH (Eintragung im Handelsregister, § 74 GmbHG) erlischt die GmbH als Koerperschaftsteuersubjekt. Der dadurch rechtstheoretisch entstehende Gewinn aus dem Wegfall der Verbindlichkeit ist mangels Steuersubjekt nicht mehr festsetzbar. So ausdrücklich </w:t>
      </w:r>
      <w:r>
        <w:rPr>
          <w:b/>
        </w:rPr>
        <w:t>FG Koeln, Urteil v. 06.03.2012 — 13 K 3006/11, GmbHR 2012, 977</w:t>
      </w:r>
      <w:r>
        <w:t xml:space="preserve"> (vorgehend zu BFH I R 34/12).</w:t>
      </w:r>
    </w:p>
    <w:p>
      <w:pPr>
        <w:pStyle w:val="Heading2"/>
      </w:pPr>
      <w:r>
        <w:rPr>
          <w:rFonts w:ascii="Times New Roman" w:hAnsi="Times New Roman"/>
        </w:rPr>
        <w:t>4. Rechtliche Bewertung (Gutachtenstil)</w:t>
      </w:r>
    </w:p>
    <w:p>
      <w:pPr>
        <w:pStyle w:val="Heading3"/>
      </w:pPr>
      <w:r>
        <w:rPr>
          <w:rFonts w:ascii="Times New Roman" w:hAnsi="Times New Roman"/>
        </w:rPr>
        <w:t>4.1 Ausgangspunkt: Verbindlichkeit besteht bis Löschung fort</w:t>
      </w:r>
    </w:p>
    <w:p>
      <w:pPr>
        <w:jc w:val="left"/>
      </w:pPr>
      <w:r>
        <w:t>Nach BFH II R 19/01 und OFD Frankfurt (siehe Akte 07) sowie dem verifizierten Urteil des FG Koeln 13 K 3006/11 bleibt die Darlehensverbindlichkeit während der gesamten Liquidationsphase passiviert. Eine vorzeitige Ausbuchung wird durch den Auflösungsbeschluss allein nicht ausgelöst; ein konkludenter Verzicht ist ausgeschlossen.</w:t>
      </w:r>
    </w:p>
    <w:p>
      <w:pPr>
        <w:pStyle w:val="Heading3"/>
      </w:pPr>
      <w:r>
        <w:rPr>
          <w:rFonts w:ascii="Times New Roman" w:hAnsi="Times New Roman"/>
        </w:rPr>
        <w:t>4.2 Löschung im Handelsregister, § 74 GmbHG</w:t>
      </w:r>
    </w:p>
    <w:p>
      <w:pPr>
        <w:jc w:val="left"/>
      </w:pPr>
      <w:r>
        <w:t>Mit Abschluss der Liquidation, vollständiger Gläubigerbefriedigung (Akte 17), Ablauf des Sperrjahres und Anmeldung durch die Liquidatorin sowie Eintragung der Löschung im Handelsregister durch das AG Charlottenburg endet die juristische Person (Vollbeendigung). Mit der Löschung erlischt zugleich das Steuersubjekt (vgl. § 11 KStG i.V.m. § 13 Abs. 1 KStG i.V.m. AO).</w:t>
      </w:r>
    </w:p>
    <w:p>
      <w:pPr>
        <w:pStyle w:val="Heading3"/>
      </w:pPr>
      <w:r>
        <w:rPr>
          <w:rFonts w:ascii="Times New Roman" w:hAnsi="Times New Roman"/>
        </w:rPr>
        <w:t>4.3 Steuerliche Folge nach FG Koeln 13 K 3006/11</w:t>
      </w:r>
    </w:p>
    <w:p>
      <w:pPr>
        <w:jc w:val="left"/>
      </w:pPr>
      <w:r>
        <w:t>Der entscheidende Os. 7 lautet wörtlich:</w:t>
      </w:r>
    </w:p>
    <w:p>
      <w:pPr>
        <w:ind w:left="567"/>
      </w:pPr>
      <w:r>
        <w:rPr>
          <w:i/>
        </w:rPr>
        <w:t>„Ist ausgeschlossen, dass ein GmbH-Gesellschafter die mit einer Rangrücktrittserklärung verbundenen Darlehensforderungen gegenüber der GmbH erlassen wird, kann bei der Liquidation der GmbH der Verzicht nicht unterstellt und ein steuerpflichtiger Gewinn angenommen werden. Die Verbindlichkeit ist bis zum Abschluss der Liquidation, d.h. bis zur Löschung im Handelsregister als Verbindlichkeit auszuweisen. Mit dem Erlöschen der GmbH erlöschen neben den Verbindlichkeiten auch eventuelle Verlustvorträge. Der dadurch rechtstheoretisch entstehende Gewinn ist mangels Koerperschaftsteuersubjekt nicht mehr steuerpflichtig."</w:t>
      </w:r>
    </w:p>
    <w:p>
      <w:pPr>
        <w:jc w:val="left"/>
      </w:pPr>
      <w:r>
        <w:t>Die hier zugrundeliegende Konstellation deckt sich strukturell mit der Lage der Strassburger Handelshof GmbH i. L.: nachrangiges Gesellschafterdarlehen, kein Erlass, Liquidation, Löschung. Die Konsequenz: kein festsetzbarer Sanierungsgewinn.</w:t>
      </w:r>
    </w:p>
    <w:p>
      <w:pPr>
        <w:pStyle w:val="Heading3"/>
      </w:pPr>
      <w:r>
        <w:rPr>
          <w:rFonts w:ascii="Times New Roman" w:hAnsi="Times New Roman"/>
        </w:rPr>
        <w:t>4.4 Wechselwirkung mit § 3a EStG</w:t>
      </w:r>
    </w:p>
    <w:p>
      <w:pPr>
        <w:jc w:val="left"/>
      </w:pPr>
      <w:r>
        <w:t>Damit wird der Antrag nach § 3a Abs. 4 EStG entbehrlich. Da kein Sanierungsertrag bei einem fortbestehenden Steuersubjekt entsteht, scheidet auch die Verrechnung nach § 3a Abs. 3 EStG aus. Die ohnehin niedrigen Verlustvorträge erlöschen mit der Löschung (so ausdrücklich FG Koeln 13 K 3006/11) ohne wirtschaftliche Folge.</w:t>
      </w:r>
    </w:p>
    <w:p>
      <w:pPr>
        <w:pStyle w:val="Heading3"/>
      </w:pPr>
      <w:r>
        <w:rPr>
          <w:rFonts w:ascii="Times New Roman" w:hAnsi="Times New Roman"/>
        </w:rPr>
        <w:t>4.5 Wechselwirkung mit § 17 EStG (Gesellschafterebene)</w:t>
      </w:r>
    </w:p>
    <w:p>
      <w:pPr>
        <w:jc w:val="left"/>
      </w:pPr>
      <w:r>
        <w:t>Auf Ebene der Gesellschafterin kann der Darlehensausfall — unter den Voraussetzungen der neueren BFH-Rspr. zu nachträglichen Anschaffungskosten — als Auflösungsverlust nach § 17 Abs. 4 EStG geltend gemacht werden. Detaillierte Pruefung in Akte 14.</w:t>
      </w:r>
    </w:p>
    <w:p>
      <w:pPr>
        <w:pStyle w:val="Heading2"/>
      </w:pPr>
      <w:r>
        <w:rPr>
          <w:rFonts w:ascii="Times New Roman" w:hAnsi="Times New Roman"/>
        </w:rPr>
        <w:t>5. Gesamtergebnis</w:t>
      </w:r>
    </w:p>
    <w:p>
      <w:pPr>
        <w:jc w:val="left"/>
      </w:pPr>
      <w:r>
        <w:t xml:space="preserve">In Szenario A entsteht </w:t>
      </w:r>
      <w:r>
        <w:rPr>
          <w:b/>
        </w:rPr>
        <w:t>kein steuerpflichtiger Sanierungsgewinn auf Gesellschaftsebene</w:t>
      </w:r>
      <w:r>
        <w:t>. Die Linie folgt unmittelbar dem FG Koeln, Urteil v. 06.03.2012 — 13 K 3006/11, GmbHR 2012, 977 (vorgehend zu BFH I R 34/12). Der Wegfall der Verbindlichkeit mit Löschung der GmbH ist mangels Steuersubjekts nicht mehr festsetzbar.</w:t>
      </w:r>
    </w:p>
    <w:p>
      <w:pPr>
        <w:pStyle w:val="Heading2"/>
      </w:pPr>
      <w:r>
        <w:rPr>
          <w:rFonts w:ascii="Times New Roman" w:hAnsi="Times New Roman"/>
        </w:rPr>
        <w:t>6. Risiken und offene Punkte</w:t>
      </w:r>
    </w:p>
    <w:p>
      <w:pPr>
        <w:pStyle w:val="ListBullet"/>
      </w:pPr>
      <w:r>
        <w:rPr>
          <w:b/>
        </w:rPr>
        <w:t>§ 5 Abs. 2a EStG-Falle:</w:t>
      </w:r>
      <w:r>
        <w:t xml:space="preserve"> Sollte das FA Berlin-Charlottenburg die Verbindlichkeit bereits </w:t>
      </w:r>
      <w:r>
        <w:rPr>
          <w:b/>
        </w:rPr>
        <w:t>vor</w:t>
      </w:r>
      <w:r>
        <w:t xml:space="preserve"> Löschung als auszubuchen ansehen (z. B. weil der Rangrücktritt im Sinne des § 5 Abs. 2a EStG „nur aus zukünftigen Gewinnen oder Liquidationsüberschuss" zu tilgen ist), entsteht ein Sanierungsgewinn vor Löschung — dann steuerpflichtig bei fortbestehender GmbH. Pruefung in Akte 06. Maszgeblich: </w:t>
      </w:r>
      <w:r>
        <w:rPr>
          <w:b/>
        </w:rPr>
        <w:t>BFH, Urt. v. 19.08.2020 — XI R 32/18, BStBl. II 2021, 279.</w:t>
      </w:r>
    </w:p>
    <w:p>
      <w:pPr>
        <w:pStyle w:val="ListBullet"/>
      </w:pPr>
      <w:r>
        <w:rPr>
          <w:b/>
        </w:rPr>
        <w:t>Tilgungsvorbehalt aus freiem Vermögen:</w:t>
      </w:r>
      <w:r>
        <w:t xml:space="preserve"> Die Rangruecktrittsklausel ist sorgfältig zu formulieren. Eine reine „Tilgung-nur-aus-zukünftigen-Gewinnen"-Klausel kann § 5 Abs. 2a EStG auslösen; eine „Tilgung-aus-freiem-Vermögen"-Klausel grundsätzlich nicht (BFH XI R 32/18; zu den allgemeinen Passivierungsvoraussetzungen BFH, Urt. v. 30.11.2011 — I R 100/10, DStR 2012, 450).</w:t>
      </w:r>
    </w:p>
    <w:p>
      <w:pPr>
        <w:pStyle w:val="ListBullet"/>
      </w:pPr>
      <w:r>
        <w:rPr>
          <w:b/>
        </w:rPr>
        <w:t>Aktualität OFD Frankfurt</w:t>
      </w:r>
      <w:r>
        <w:t xml:space="preserve"> und </w:t>
      </w:r>
      <w:r>
        <w:rPr>
          <w:b/>
        </w:rPr>
        <w:t>Zustimmung der Finanzverwaltung Berlin</w:t>
      </w:r>
      <w:r>
        <w:t xml:space="preserve"> sind über verbindliche Auskunft (§ 89 Abs. 2 AO) abzusichern. Antrag in Akte 13. Die OFD-Frankfurt-Linie ergibt sich aus der Rundverfügung vom </w:t>
      </w:r>
      <w:r>
        <w:rPr>
          <w:b/>
        </w:rPr>
        <w:t>26.07.2021 — S 2743 A-12-St 523, Originalquelle oder frei pruefbare Quelle vor Ausgabe pruefen</w:t>
      </w:r>
      <w:r>
        <w:t xml:space="preserve"> und der Vorgängerverfügung vom </w:t>
      </w:r>
      <w:r>
        <w:rPr>
          <w:b/>
        </w:rPr>
        <w:t>03.08.2018 — S 2743 A-12-St 525, DStR 2019, 560</w:t>
      </w:r>
      <w:r>
        <w:t xml:space="preserve"> (Aktualität vor Anwendung prüfen).</w:t>
      </w:r>
    </w:p>
    <w:p>
      <w:pPr>
        <w:pStyle w:val="ListBullet"/>
      </w:pPr>
      <w:r>
        <w:rPr>
          <w:b/>
        </w:rPr>
        <w:t>„Wirtschaftliche Belastung" als FA-Streitpunkt:</w:t>
      </w:r>
      <w:r>
        <w:t xml:space="preserve"> Das FA kann die Auffassung vertreten, die Verbindlichkeit sei mangels wirtschaftlicher Belastung (BFH I R 100/10) bereits vor Löschung auszubuchen, wenn die Erfuellungswahrscheinlichkeit gegen Null geht. Gegen diese Auffassung steht die herrschende Literaturlinie (Bergmann, Diss. 2012, S. 145 ff.; Dietrich/Weber, DStR 2019, 966, 970; Stalbold, in: Gosch, KStG, § 11 Rn. 72; Micker, in: HHR, § 11 KStG Rn. 44; Hageboeke, in: Roedder/Herlinghaus/Neumann, KStG, § 11 Rn. 78). Eine abweichende Gegenposition vertritt S. Neumann, in: Blumenberg/Neumann, Ubg 2016, 256, 257 f.; ferner Brinkmann, StBp 2021, 246, 250. Das </w:t>
      </w:r>
      <w:r>
        <w:rPr>
          <w:b/>
        </w:rPr>
        <w:t>BFH, Beschl. v. 05.02.2014 — I R 34/12, BFH/NV 2014, 1014</w:t>
      </w:r>
      <w:r>
        <w:t xml:space="preserve"> hat den Streit ausdrücklich offengelassen („nicht evident rechtsfehlerhaft").</w:t>
      </w:r>
    </w:p>
    <w:p>
      <w:pPr>
        <w:pStyle w:val="ListBullet"/>
      </w:pPr>
      <w:r>
        <w:rPr>
          <w:b/>
        </w:rPr>
        <w:t>Definitiveffekt-Risiko:</w:t>
      </w:r>
      <w:r>
        <w:t xml:space="preserve"> Falls doch ein Sanierungsertrag vor Löschung entsteht und der Verlustvortrag nicht ausreicht, kann der Definitiveffekt der Mindestbesteuerung (§ 10d EStG) Art. 3 Abs. 1 GG verletzen. Einspruch ruhend stellen — vgl. </w:t>
      </w:r>
      <w:r>
        <w:rPr>
          <w:b/>
        </w:rPr>
        <w:t>FG Düsseldorf, Urt. v. 18.09.2018 — 6 K 454/15 K, DStRE 2019</w:t>
      </w:r>
      <w:r>
        <w:t xml:space="preserve">, Revision anhängig BFH I R 36/18 (ausgesetzt wegen BVerfG 2 BvL 19/14, Vorlage BFH I R 59/12); </w:t>
      </w:r>
      <w:r>
        <w:rPr>
          <w:b/>
        </w:rPr>
        <w:t>OFD Frankfurt, Verfügung vom 27.12.2018, Originalquelle oder frei pruefbare Quelle vor Ausgabe pruefen</w:t>
      </w:r>
      <w:r>
        <w:t>.</w:t>
      </w:r>
    </w:p>
    <w:p>
      <w:pPr>
        <w:pStyle w:val="ListBullet"/>
      </w:pPr>
      <w:r>
        <w:rPr>
          <w:b/>
        </w:rPr>
        <w:t>Loeschungs-Vollzug:</w:t>
      </w:r>
      <w:r>
        <w:t xml:space="preserve"> Die Anmeldung der Löschung beim AG Charlottenburg kann an offenen Steuererklaerungen scheitern (OLG Hamm, Beschl. v. 21.05.2021 — 27 W 25/21, FGPrax 2021, 166 = freie Quelle/dejure vor Ausgabe pruefen; OLG Jena, Beschl. v. 20.05.2015 — 6 W 506/14, ZIP 2016, 25; OLG Celle, Beschl. v. 17.10.2018 — 9 W 80/18, ZIP 2018, 2222; KG, Beschl. v. 22.07.2019 — 22 W 29/18, NZG 2019, 1294). Bei eingestelltem Geschäftsbetrieb und nur Nachforderungen Eintragung dagegen möglich (OLG Düsseldorf, Beschl. v. 25.08.2020 — 3 Wx 117/20, freie Quelle/dejure vor Ausgabe pruefen; BGH, Beschl. v. 09.11.2021 — II ZB 1/21, DStR 2022, 162). Vor Anmeldung: Stand der KSt-Erklärungen 2025 und 2026 mit FA Berlin-Charlottenburg klären.</w:t>
      </w:r>
    </w:p>
    <w:p>
      <w:pPr>
        <w:pStyle w:val="Heading2"/>
      </w:pPr>
      <w:r>
        <w:rPr>
          <w:rFonts w:ascii="Times New Roman" w:hAnsi="Times New Roman"/>
        </w:rPr>
        <w:t>7. Querverweise</w:t>
      </w:r>
    </w:p>
    <w:p>
      <w:pPr>
        <w:pStyle w:val="ListBullet"/>
      </w:pPr>
      <w:r>
        <w:t>Akte 05: Rangruecktrittsvereinbarung.</w:t>
      </w:r>
    </w:p>
    <w:p>
      <w:pPr>
        <w:pStyle w:val="ListBullet"/>
      </w:pPr>
      <w:r>
        <w:t>Akte 06: § 5 Abs. 2a EStG-Pruefung.</w:t>
      </w:r>
    </w:p>
    <w:p>
      <w:pPr>
        <w:pStyle w:val="ListBullet"/>
      </w:pPr>
      <w:r>
        <w:t>Akte 07: Memo zu BFH II R 19/01 und OFD Frankfurt sowie verifizierte FG-Koeln-Linie.</w:t>
      </w:r>
    </w:p>
    <w:p>
      <w:pPr>
        <w:pStyle w:val="ListBullet"/>
      </w:pPr>
      <w:r>
        <w:t>Akte 11: § 3a EStG bei solventer Liquidation — Sanierungseignung fehlt.</w:t>
      </w:r>
    </w:p>
    <w:p>
      <w:pPr>
        <w:pStyle w:val="ListBullet"/>
      </w:pPr>
      <w:r>
        <w:t>Akte 13: Antrag verbindliche Auskunft FA Berlin-Charlottenburg.</w:t>
      </w:r>
    </w:p>
    <w:p>
      <w:pPr>
        <w:pStyle w:val="ListBullet"/>
      </w:pPr>
      <w:r>
        <w:t>Akte 14: § 17 Abs. 4 EStG-Auflösungsverlust Gesellschafterin.</w:t>
      </w:r>
    </w:p>
    <w:p>
      <w:pPr>
        <w:pStyle w:val="ListBullet"/>
      </w:pPr>
      <w:r>
        <w:t>Akte 15: Löschung im Handelsregister und Erlöschen Steuersubjekt.</w:t>
      </w:r>
    </w:p>
    <w:p>
      <w:pPr>
        <w:pStyle w:val="ListBullet"/>
      </w:pPr>
      <w:r>
        <w:t>Akte 16: FG Koeln 13 K 3006/11 — Vertiefung.</w:t>
      </w:r>
    </w:p>
    <w:p>
      <w:pPr>
        <w:pStyle w:val="ListBullet"/>
      </w:pPr>
      <w:r>
        <w:t>Akte 18: CSV mit Szenarienrechnung.</w:t>
      </w:r>
    </w:p>
    <w:p>
      <w:pPr>
        <w:pStyle w:val="Heading2"/>
      </w:pPr>
      <w:r>
        <w:rPr>
          <w:rFonts w:ascii="Times New Roman" w:hAnsi="Times New Roman"/>
        </w:rPr>
        <w:t>8. Quellenverzeichnis</w:t>
      </w:r>
    </w:p>
    <w:p>
      <w:pPr>
        <w:pStyle w:val="Heading3"/>
      </w:pPr>
      <w:r>
        <w:rPr>
          <w:rFonts w:ascii="Times New Roman" w:hAnsi="Times New Roman"/>
        </w:rPr>
        <w:t>Rechtsprechung (verifiziert)</w:t>
      </w:r>
    </w:p>
    <w:p>
      <w:pPr>
        <w:pStyle w:val="ListBullet"/>
      </w:pPr>
      <w:r>
        <w:rPr>
          <w:b/>
        </w:rPr>
        <w:t>FG Koeln, Urteil v. 06.03.2012 — 13 K 3006/11, GmbHR 2012, 977</w:t>
      </w:r>
      <w:r>
        <w:t xml:space="preserve"> (vorgehend zu BFH I R 34/12). Os. 7 (wörtlich oben in 4.3 zitiert).</w:t>
      </w:r>
    </w:p>
    <w:p>
      <w:pPr>
        <w:pStyle w:val="ListBullet"/>
      </w:pPr>
      <w:r>
        <w:rPr>
          <w:b/>
        </w:rPr>
        <w:t>BFH, Beschl. v. 05.02.2014 — I R 34/12, BFH/NV 2014, 1014</w:t>
      </w:r>
      <w:r>
        <w:t xml:space="preserve"> — nachgehend zu FG Koeln 13 K 3006/11; Streitstand „nicht evident rechtsfehlerhaft".</w:t>
      </w:r>
    </w:p>
    <w:p>
      <w:pPr>
        <w:pStyle w:val="ListBullet"/>
      </w:pPr>
      <w:r>
        <w:rPr>
          <w:b/>
        </w:rPr>
        <w:t>BFH, Urt. v. 19.08.2020 — XI R 32/18, BStBl. II 2021, 279</w:t>
      </w:r>
      <w:r>
        <w:t xml:space="preserve"> — Kernentscheidung § 5 Abs. 2a EStG bei Rangrücktritt mit Tilgungsvorbehalt aus zukünftigen Gewinnen.</w:t>
      </w:r>
    </w:p>
    <w:p>
      <w:pPr>
        <w:pStyle w:val="ListBullet"/>
      </w:pPr>
      <w:r>
        <w:rPr>
          <w:b/>
        </w:rPr>
        <w:t>BFH, Urt. v. 30.11.2011 — I R 100/10, DStR 2012, 450</w:t>
      </w:r>
      <w:r>
        <w:t xml:space="preserve"> — Voraussetzungen der Passivierung (wirtschaftliche Belastung).</w:t>
      </w:r>
    </w:p>
    <w:p>
      <w:pPr>
        <w:pStyle w:val="ListBullet"/>
      </w:pPr>
      <w:r>
        <w:rPr>
          <w:b/>
        </w:rPr>
        <w:t>BFH, Urteil v. 26.02.2003 — II R 19/01.</w:t>
      </w:r>
    </w:p>
    <w:p>
      <w:pPr>
        <w:pStyle w:val="ListBullet"/>
      </w:pPr>
      <w:r>
        <w:rPr>
          <w:b/>
        </w:rPr>
        <w:t>BFH, Urt. v. 16.05.2015 — IX R 28/14, BFH/NV 2015, 1679</w:t>
      </w:r>
      <w:r>
        <w:t xml:space="preserve"> — umgekehrter Fall.</w:t>
      </w:r>
    </w:p>
    <w:p>
      <w:pPr>
        <w:pStyle w:val="ListBullet"/>
      </w:pPr>
      <w:r>
        <w:rPr>
          <w:b/>
        </w:rPr>
        <w:t>FG Münster, Urt. v. 23.07.2020 — 10 K 2222/19, DStRE 2021, 264</w:t>
      </w:r>
      <w:r>
        <w:t xml:space="preserve"> — Streitfrage diskussionswuerdig.</w:t>
      </w:r>
    </w:p>
    <w:p>
      <w:pPr>
        <w:pStyle w:val="ListBullet"/>
      </w:pPr>
      <w:r>
        <w:rPr>
          <w:b/>
        </w:rPr>
        <w:t>FG Düsseldorf, Urt. v. 18.09.2018 — 6 K 454/15 K, DStRE 2019</w:t>
      </w:r>
      <w:r>
        <w:t xml:space="preserve"> — Mindestbesteuerung Definitiveffekt; Rev. anh. BFH I R 36/18 (ausgesetzt BVerfG 2 BvL 19/14).</w:t>
      </w:r>
    </w:p>
    <w:p>
      <w:pPr>
        <w:pStyle w:val="ListBullet"/>
      </w:pPr>
      <w:r>
        <w:rPr>
          <w:b/>
        </w:rPr>
        <w:t>OLG Hamm, Beschl. v. 21.05.2021 — 27 W 25/21, FGPrax 2021, 166</w:t>
      </w:r>
      <w:r>
        <w:t xml:space="preserve"> = freie Quelle/dejure vor Ausgabe pruefen — Loeschungsverfahren.</w:t>
      </w:r>
    </w:p>
    <w:p>
      <w:pPr>
        <w:pStyle w:val="ListBullet"/>
      </w:pPr>
      <w:r>
        <w:rPr>
          <w:b/>
        </w:rPr>
        <w:t>OLG Düsseldorf, Beschl. v. 25.08.2020 — 3 Wx 117/20, freie Quelle/dejure vor Ausgabe pruefen</w:t>
      </w:r>
      <w:r>
        <w:t>.</w:t>
      </w:r>
    </w:p>
    <w:p>
      <w:pPr>
        <w:pStyle w:val="ListBullet"/>
      </w:pPr>
      <w:r>
        <w:rPr>
          <w:b/>
        </w:rPr>
        <w:t>BGH, Beschl. v. 09.11.2021 — II ZB 1/21, DStR 2022, 162</w:t>
      </w:r>
      <w:r>
        <w:t>.</w:t>
      </w:r>
    </w:p>
    <w:p>
      <w:pPr>
        <w:pStyle w:val="ListBullet"/>
      </w:pPr>
      <w:r>
        <w:rPr>
          <w:b/>
        </w:rPr>
        <w:t>OLG Jena, Beschl. v. 20.05.2015 — 6 W 506/14, ZIP 2016, 25</w:t>
      </w:r>
      <w:r>
        <w:t>.</w:t>
      </w:r>
    </w:p>
    <w:p>
      <w:pPr>
        <w:pStyle w:val="ListBullet"/>
      </w:pPr>
      <w:r>
        <w:rPr>
          <w:b/>
        </w:rPr>
        <w:t>OLG Jena, Beschl. v. 15.05.2019 — 2 W 159/19, NotBZ 2019, 391</w:t>
      </w:r>
      <w:r>
        <w:t>.</w:t>
      </w:r>
    </w:p>
    <w:p>
      <w:pPr>
        <w:pStyle w:val="ListBullet"/>
      </w:pPr>
      <w:r>
        <w:rPr>
          <w:b/>
        </w:rPr>
        <w:t>OLG Celle, Beschl. v. 17.10.2018 — 9 W 80/18, ZIP 2018, 2222</w:t>
      </w:r>
      <w:r>
        <w:t>.</w:t>
      </w:r>
    </w:p>
    <w:p>
      <w:pPr>
        <w:pStyle w:val="ListBullet"/>
      </w:pPr>
      <w:r>
        <w:rPr>
          <w:b/>
        </w:rPr>
        <w:t>KG, Beschl. v. 22.07.2019 — 22 W 29/18, NZG 2019, 1294</w:t>
      </w:r>
      <w:r>
        <w:t>.</w:t>
      </w:r>
    </w:p>
    <w:p>
      <w:pPr>
        <w:pStyle w:val="Heading3"/>
      </w:pPr>
      <w:r>
        <w:rPr>
          <w:rFonts w:ascii="Times New Roman" w:hAnsi="Times New Roman"/>
        </w:rPr>
        <w:t>Verwaltungsauffassung</w:t>
      </w:r>
    </w:p>
    <w:p>
      <w:pPr>
        <w:pStyle w:val="ListBullet"/>
      </w:pPr>
      <w:r>
        <w:rPr>
          <w:b/>
        </w:rPr>
        <w:t>OFD Frankfurt a. M., Rundverfügung v. 26.07.2021 — S 2743 A-12-St 523, Originalquelle oder frei pruefbare Quelle vor Ausgabe pruefen</w:t>
      </w:r>
      <w:r>
        <w:t>, Tz. 1.2-1.4.</w:t>
      </w:r>
    </w:p>
    <w:p>
      <w:pPr>
        <w:pStyle w:val="ListBullet"/>
      </w:pPr>
      <w:r>
        <w:rPr>
          <w:b/>
        </w:rPr>
        <w:t>OFD Frankfurt a. M., Rundverfügung v. 03.08.2018 — S 2743 A-12-St 525, DStR 2019, 560</w:t>
      </w:r>
      <w:r>
        <w:t>.</w:t>
      </w:r>
    </w:p>
    <w:p>
      <w:pPr>
        <w:pStyle w:val="ListBullet"/>
      </w:pPr>
      <w:r>
        <w:rPr>
          <w:b/>
        </w:rPr>
        <w:t>OFD Frankfurt, Verfügung v. 27.12.2018, Originalquelle oder frei pruefbare Quelle vor Ausgabe pruefen</w:t>
      </w:r>
      <w:r>
        <w:t xml:space="preserve"> — Einsprüche Mindestbesteuerung ruhend.</w:t>
      </w:r>
    </w:p>
    <w:p>
      <w:pPr>
        <w:pStyle w:val="ListBullet"/>
      </w:pPr>
      <w:r>
        <w:rPr>
          <w:b/>
        </w:rPr>
        <w:t>OFD Nordrhein-Westfalen, Kurzinformation ESt Nr. 46/2014, akt. 22.09.2017, DB 2017, 2580</w:t>
      </w:r>
      <w:r>
        <w:t>.</w:t>
      </w:r>
    </w:p>
    <w:p>
      <w:pPr>
        <w:pStyle w:val="Heading3"/>
      </w:pPr>
      <w:r>
        <w:rPr>
          <w:rFonts w:ascii="Times New Roman" w:hAnsi="Times New Roman"/>
        </w:rPr>
        <w:t>Literatur (gegen gewinnerhoehende Ausbuchung — herrschende Linie)</w:t>
      </w:r>
    </w:p>
    <w:p>
      <w:pPr>
        <w:pStyle w:val="ListBullet"/>
      </w:pPr>
      <w:r>
        <w:t>Bergmann, Diss. 2012, S. 145 ff.</w:t>
      </w:r>
    </w:p>
    <w:p>
      <w:pPr>
        <w:pStyle w:val="ListBullet"/>
      </w:pPr>
      <w:r>
        <w:t>Dietrich/Weber, DStR 2019, 966, 970.</w:t>
      </w:r>
    </w:p>
    <w:p>
      <w:pPr>
        <w:pStyle w:val="ListBullet"/>
      </w:pPr>
      <w:r>
        <w:t>Hageboeke, in: Roedder/Herlinghaus/Neumann, KStG, § 11 Rn. 78.</w:t>
      </w:r>
    </w:p>
    <w:p>
      <w:pPr>
        <w:pStyle w:val="ListBullet"/>
      </w:pPr>
      <w:r>
        <w:t>Maschlanka, in: Heyd/Kautenburger-Behr/Wind, Rn. 1023.</w:t>
      </w:r>
    </w:p>
    <w:p>
      <w:pPr>
        <w:pStyle w:val="ListBullet"/>
      </w:pPr>
      <w:r>
        <w:t>Mayer/Betzinger, DStR 2014, 1573.</w:t>
      </w:r>
    </w:p>
    <w:p>
      <w:pPr>
        <w:pStyle w:val="ListBullet"/>
      </w:pPr>
      <w:r>
        <w:t>Stalbold, in: Gosch, KStG, § 11 Rn. 72.</w:t>
      </w:r>
    </w:p>
    <w:p>
      <w:pPr>
        <w:pStyle w:val="ListBullet"/>
      </w:pPr>
      <w:r>
        <w:t>Micker, in: HHR, § 11 KStG Rn. 44.</w:t>
      </w:r>
    </w:p>
    <w:p>
      <w:pPr>
        <w:pStyle w:val="Heading3"/>
      </w:pPr>
      <w:r>
        <w:rPr>
          <w:rFonts w:ascii="Times New Roman" w:hAnsi="Times New Roman"/>
        </w:rPr>
        <w:t>Literatur (Gegenposition)</w:t>
      </w:r>
    </w:p>
    <w:p>
      <w:pPr>
        <w:pStyle w:val="ListBullet"/>
      </w:pPr>
      <w:r>
        <w:t>S. Neumann, in: Blumenberg/Neumann, Ubg 2016, 256, 257 f.</w:t>
      </w:r>
    </w:p>
    <w:p>
      <w:pPr>
        <w:pStyle w:val="ListBullet"/>
      </w:pPr>
      <w:r>
        <w:t>Brinkmann, StBp 2021, 246, 250.</w:t>
      </w:r>
    </w:p>
    <w:p>
      <w:pPr>
        <w:pStyle w:val="Heading3"/>
      </w:pPr>
      <w:r>
        <w:rPr>
          <w:rFonts w:ascii="Times New Roman" w:hAnsi="Times New Roman"/>
        </w:rPr>
        <w:t>Literatur (Loeschungsverfahren)</w:t>
      </w:r>
    </w:p>
    <w:p>
      <w:pPr>
        <w:pStyle w:val="ListBullet"/>
      </w:pPr>
      <w:r>
        <w:t>Baumbach/Hueck-Haas, GmbHG, 22. Aufl. 2019, § 74 Rz. 2.</w:t>
      </w:r>
    </w:p>
    <w:p>
      <w:pPr>
        <w:pStyle w:val="ListBullet"/>
      </w:pPr>
      <w:r>
        <w:t>MK-H.-F. Mueller, GmbHG, 3. Aufl. 2018, § 74 Rz. 3.</w:t>
      </w:r>
    </w:p>
    <w:p>
      <w:pPr>
        <w:pStyle w:val="ListBullet"/>
      </w:pPr>
      <w:r>
        <w:t>Henssler/Strohn-Bueteroewe, Gesellschaftsrecht, 4. Aufl. 2019, § 74 GmbHG Rz. 3.</w:t>
      </w:r>
    </w:p>
    <w:p>
      <w:pPr>
        <w:pStyle w:val="ListBullet"/>
      </w:pPr>
      <w:r>
        <w:t>BeckOK GmbHG — Lorscheider (Stand 01.05.2020), § 74 Rz. 3.</w:t>
      </w:r>
    </w:p>
    <w:p>
      <w:pPr>
        <w:pStyle w:val="ListBullet"/>
      </w:pPr>
      <w:r>
        <w:t>Wicke, GmbHG, 4. Aufl. 2020, § 74 Rz. 2.</w:t>
      </w:r>
    </w:p>
    <w:p>
      <w:pPr>
        <w:pStyle w:val="ListBullet"/>
      </w:pPr>
      <w:r>
        <w:t>von Rintelen, RNotZ 2017, 185 f.</w:t>
      </w:r>
    </w:p>
    <w:p>
      <w:pPr>
        <w:pStyle w:val="ListBullet"/>
      </w:pPr>
      <w:r>
        <w:t>Freier, NZG 2020, 812.</w:t>
      </w:r>
    </w:p>
    <w:p>
      <w:pPr>
        <w:pStyle w:val="Heading3"/>
      </w:pPr>
      <w:r>
        <w:rPr>
          <w:rFonts w:ascii="Times New Roman" w:hAnsi="Times New Roman"/>
        </w:rPr>
        <w:t>Normen</w:t>
      </w:r>
    </w:p>
    <w:p>
      <w:pPr>
        <w:pStyle w:val="ListBullet"/>
      </w:pPr>
      <w:r>
        <w:t>§§ 60, 65, 71, 73, 74 GmbHG.</w:t>
      </w:r>
    </w:p>
    <w:p>
      <w:pPr>
        <w:pStyle w:val="ListBullet"/>
      </w:pPr>
      <w:r>
        <w:t>§ 5 Abs. 2a EStG, § 3a EStG, § 11 KStG.</w:t>
      </w:r>
    </w:p>
    <w:p>
      <w:pPr>
        <w:pStyle w:val="ListBullet"/>
      </w:pPr>
      <w:r>
        <w:t>§ 6 Abs. 1 Nr. 3 EStG i.V.m. § 12 Abs. 1 BewG (Nennwert).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HRB 188742 B AG Charlottenburg · Aktenzeichen Kanzlei: PE-2026-LIQ-0188 / Szena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