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§ 3a Abs. 3 EStG — Verrechnungsreihenfolge und Verlustvortragssituation</w:t>
      </w:r>
    </w:p>
    <w:p>
      <w:pPr>
        <w:jc w:val="left"/>
      </w:pPr>
      <w:r>
        <w:rPr>
          <w:b/>
        </w:rPr>
        <w:t>Verfasserin:</w:t>
      </w:r>
      <w:r>
        <w:t xml:space="preserve"> StB/RAin Dr. Cordula Pinneberg-Talheim</w:t>
      </w:r>
    </w:p>
    <w:p>
      <w:pPr>
        <w:jc w:val="left"/>
      </w:pPr>
      <w:r>
        <w:rPr>
          <w:b/>
        </w:rPr>
        <w:t>Datum:</w:t>
      </w:r>
      <w:r>
        <w:t xml:space="preserve"> 28.05.2026</w:t>
      </w:r>
    </w:p>
    <w:p>
      <w:pPr>
        <w:jc w:val="left"/>
      </w:pPr>
      <w:r>
        <w:rPr>
          <w:b/>
        </w:rPr>
        <w:t>Mandantin:</w:t>
      </w:r>
      <w:r>
        <w:t xml:space="preserve"> Strassburger Handelshof GmbH i.L., HRB 188742 B AG Charlottenburg</w:t>
      </w:r>
    </w:p>
    <w:p>
      <w:pPr>
        <w:jc w:val="left"/>
      </w:pPr>
      <w:r>
        <w:rPr>
          <w:b/>
        </w:rPr>
        <w:t>Aktenzeichen Kanzlei:</w:t>
      </w:r>
      <w:r>
        <w:t xml:space="preserve"> PE-2026-LIQ-0188 / Memo 12</w:t>
      </w:r>
    </w:p>
    <w:p>
      <w:pPr>
        <w:jc w:val="left"/>
      </w:pPr>
      <w:r>
        <w:rPr>
          <w:b/>
        </w:rPr>
        <w:t>Stil:</w:t>
      </w:r>
      <w:r>
        <w:t xml:space="preserve"> Gutachtenstil und Aufrechnung</w:t>
      </w:r>
    </w:p>
    <w:p/>
    <w:p>
      <w:pPr>
        <w:pStyle w:val="Heading2"/>
      </w:pPr>
      <w:r>
        <w:rPr>
          <w:rFonts w:ascii="Times New Roman" w:hAnsi="Times New Roman"/>
        </w:rPr>
        <w:t>1. Vorbemerkung</w:t>
      </w:r>
    </w:p>
    <w:p>
      <w:pPr>
        <w:jc w:val="left"/>
      </w:pPr>
      <w:r>
        <w:t xml:space="preserve">Die Pruefung des § 3a Abs. 3 EStG hat im Mandatsfall </w:t>
      </w:r>
      <w:r>
        <w:rPr>
          <w:b/>
        </w:rPr>
        <w:t>subsidiaeren Charakter</w:t>
      </w:r>
      <w:r>
        <w:t xml:space="preserve">: Da § 3a EStG (Akte 11) im Mandatsfall nicht greift, kommt es zu einer Verrechnung nach § 3a Abs. 3 EStG </w:t>
      </w:r>
      <w:r>
        <w:rPr>
          <w:b/>
        </w:rPr>
        <w:t>nicht</w:t>
      </w:r>
      <w:r>
        <w:t>. Trotzdem wird die Verrechnungsreihenfolge dargestellt, weil:</w:t>
      </w:r>
    </w:p>
    <w:p>
      <w:pPr>
        <w:jc w:val="left"/>
      </w:pPr>
      <w:r>
        <w:t>(a) sie für Szenarien wichtig wäre, in denen Sanierungseignung doch bejaht würde,</w:t>
      </w:r>
    </w:p>
    <w:p>
      <w:pPr>
        <w:jc w:val="left"/>
      </w:pPr>
      <w:r>
        <w:t xml:space="preserve">(b) sie für die </w:t>
      </w:r>
      <w:r>
        <w:rPr>
          <w:b/>
        </w:rPr>
        <w:t>allgemeine</w:t>
      </w:r>
      <w:r>
        <w:t xml:space="preserve"> Verlustabzugsregelung (§ 10d EStG, § 8 Abs. 1 KStG) parallel gilt — insbesondere für Szenarien B und C, in denen ohne § 3a EStG-Befreiung trotzdem Verlustvorträge gegenzurechnen sind.</w:t>
      </w:r>
    </w:p>
    <w:p>
      <w:pPr>
        <w:pStyle w:val="Heading2"/>
      </w:pPr>
      <w:r>
        <w:rPr>
          <w:rFonts w:ascii="Times New Roman" w:hAnsi="Times New Roman"/>
        </w:rPr>
        <w:t>2. Verrechnungsreihenfolge nach § 3a Abs. 3 EStG</w:t>
      </w:r>
    </w:p>
    <w:p>
      <w:pPr>
        <w:ind w:left="567"/>
      </w:pPr>
      <w:r>
        <w:rPr>
          <w:i/>
        </w:rPr>
        <w:t>"Sanierungserträge im Sinne des Absatzes 1 sind in dieser Reihenfolge zu vermindern um</w:t>
      </w:r>
    </w:p>
    <w:p>
      <w:pPr>
        <w:ind w:left="567"/>
      </w:pPr>
      <w:r>
        <w:rPr>
          <w:i/>
        </w:rPr>
        <w:t>1. das laufende Ergebnis im Sanierungsjahr;</w:t>
      </w:r>
    </w:p>
    <w:p>
      <w:pPr>
        <w:ind w:left="567"/>
      </w:pPr>
      <w:r>
        <w:rPr>
          <w:i/>
        </w:rPr>
        <w:t>2. nicht ausgenutzte Verlustabzugsbeträge (Verlustvorträge) zum Ende des dem Sanierungsjahr vorausgehenden Veranlagungszeitraums;</w:t>
      </w:r>
    </w:p>
    <w:p>
      <w:pPr>
        <w:ind w:left="567"/>
      </w:pPr>
      <w:r>
        <w:rPr>
          <w:i/>
        </w:rPr>
        <w:t>3. negative Einkünfte des Sanierungsjahrs;</w:t>
      </w:r>
    </w:p>
    <w:p>
      <w:pPr>
        <w:ind w:left="567"/>
      </w:pPr>
      <w:r>
        <w:rPr>
          <w:i/>
        </w:rPr>
        <w:t>4. den verbleibenden Verlustvortrag im Sanierungsjahr."</w:t>
      </w:r>
    </w:p>
    <w:p>
      <w:pPr>
        <w:jc w:val="left"/>
      </w:pPr>
      <w:r>
        <w:t>Im Anwendungsbereich des § 3a EStG ist also vor der Steuerfreiheit eine Verrechnung vorgesehen — die Verluste werden "aufgezehrt", bevor der Rest steuerfrei wird.</w:t>
      </w:r>
    </w:p>
    <w:p>
      <w:pPr>
        <w:pStyle w:val="Heading2"/>
      </w:pPr>
      <w:r>
        <w:rPr>
          <w:rFonts w:ascii="Times New Roman" w:hAnsi="Times New Roman"/>
        </w:rPr>
        <w:t>3. Verlustvortrags-Situation der Strassburger Handelshof GmbH</w:t>
      </w:r>
    </w:p>
    <w:p>
      <w:pPr>
        <w:pStyle w:val="Heading3"/>
      </w:pPr>
      <w:r>
        <w:rPr>
          <w:rFonts w:ascii="Times New Roman" w:hAnsi="Times New Roman"/>
        </w:rPr>
        <w:t>3.1 KSt-Verlustvortrag</w:t>
      </w:r>
    </w:p>
    <w:p>
      <w:pPr>
        <w:jc w:val="left"/>
      </w:pPr>
      <w:r>
        <w:t>Stand 31.12.2025 (vorläufig nach KSt-Erklärung 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Jahresfehlbetrag KSt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Kumulierter VV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2019 (Stand Vortrag)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(Saldo nach Gewinnen 2014–2018)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380.000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380.000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460.000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840.000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410.000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1.250.000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590.000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1.840.000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380.000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2.220.000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160.000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– 2.380.000</w:t>
            </w:r>
          </w:p>
        </w:tc>
      </w:tr>
    </w:tbl>
    <w:p>
      <w:pPr>
        <w:jc w:val="left"/>
      </w:pPr>
      <w:r>
        <w:t xml:space="preserve">KSt-Verlustvortrag zum 31.12.2025 vorläufig: </w:t>
      </w:r>
      <w:r>
        <w:rPr>
          <w:b/>
        </w:rPr>
        <w:t>2.380.000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3.2 GewSt-Verlustvortrag</w:t>
      </w:r>
    </w:p>
    <w:p>
      <w:pPr>
        <w:jc w:val="left"/>
      </w:pPr>
      <w:r>
        <w:t xml:space="preserve">GewSt-Verluste weichen wegen Hinzurechnungen und Kürzungen ab. Stand 31.12.2025 vorläufig: </w:t>
      </w:r>
      <w:r>
        <w:rPr>
          <w:b/>
        </w:rPr>
        <w:t>2.260.000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3.3 Bisherige Verlustabzugssperren (§ 8c KStG, § 8d KStG)</w:t>
      </w:r>
    </w:p>
    <w:p>
      <w:pPr>
        <w:jc w:val="left"/>
      </w:pPr>
      <w:r>
        <w:t>Frau Strassburger-Wittenburg ist seit der Erbfolge 2019 Alleingesellschafterin (100 %). Kein Beteiligungserwerb über 50 %, der § 8c KStG auslösen würde. Ein § 8d KStG-Antrag ist nicht zu stellen, da kein § 8c-Auswechsel vorliegt. Die Verlustvorträge sind voll erhalten.</w:t>
      </w:r>
    </w:p>
    <w:p>
      <w:pPr>
        <w:pStyle w:val="Heading2"/>
      </w:pPr>
      <w:r>
        <w:rPr>
          <w:rFonts w:ascii="Times New Roman" w:hAnsi="Times New Roman"/>
        </w:rPr>
        <w:t>4. Verrechnung in Szenarien B und C (ohne § 3a EStG)</w:t>
      </w:r>
    </w:p>
    <w:p>
      <w:pPr>
        <w:pStyle w:val="Heading3"/>
      </w:pPr>
      <w:r>
        <w:rPr>
          <w:rFonts w:ascii="Times New Roman" w:hAnsi="Times New Roman"/>
        </w:rPr>
        <w:t>4.1 Ausgangslage</w:t>
      </w:r>
    </w:p>
    <w:p>
      <w:pPr>
        <w:jc w:val="left"/>
      </w:pPr>
      <w:r>
        <w:t xml:space="preserve">Ohne § 3a EStG ist der Ertrag in Höhe von 2,4 Mio. EUR ganz normal zu versteuern, </w:t>
      </w:r>
      <w:r>
        <w:rPr>
          <w:i/>
        </w:rPr>
        <w:t>unter Berücksichtigung</w:t>
      </w:r>
      <w:r>
        <w:t xml:space="preserve"> der </w:t>
      </w:r>
      <w:r>
        <w:rPr>
          <w:b/>
        </w:rPr>
        <w:t>Mindestbesteuerung</w:t>
      </w:r>
      <w:r>
        <w:t xml:space="preserve"> nach § 10d Abs. 2 EStG (analog § 8 Abs. 1 KStG):</w:t>
      </w:r>
    </w:p>
    <w:p>
      <w:pPr>
        <w:ind w:left="567"/>
      </w:pPr>
      <w:r>
        <w:rPr>
          <w:i/>
        </w:rPr>
        <w:t>"Negative Einkünfte, die nach Absatz 1 nicht ausgeglichen werden können, sind ... in den folgenden Veranlagungszeitraeumen bis zu einem Gesamtbetrag der Einkünfte von 1 Million EUR unbeschränkt, daruber hinaus bis zu 60 % des Gesamtbetrags der Einkünfte ... abzuziehen."</w:t>
      </w:r>
    </w:p>
    <w:p>
      <w:pPr>
        <w:pStyle w:val="Heading3"/>
      </w:pPr>
      <w:r>
        <w:rPr>
          <w:rFonts w:ascii="Times New Roman" w:hAnsi="Times New Roman"/>
        </w:rPr>
        <w:t>4.2 Berechnung KSt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Ausbuchungs-/Verzichtsertrag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Sockelfreigrenze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60 % des Restbetrags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Max. Verlustvortragsverrechnung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versteuerndes Einkommen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560.000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KSt-Verlustvortrag nach Verrechnung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Verfall des Restverlusts mit Löschung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540.000 (verloren)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SolZ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4.620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Berechnung GewSt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Gewerbeertrag vor 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Sockelfreigrenze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60 % von 1.400.000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Max. GewSt-Verlustvortragsverrechnung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Gewerbeertrag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Berlin 410 %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80.360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4.4 Gesamtbelastung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4.620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80.360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Steuer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168.980</w:t>
            </w:r>
          </w:p>
        </w:tc>
      </w:tr>
    </w:tbl>
    <w:p>
      <w:pPr>
        <w:jc w:val="left"/>
      </w:pPr>
      <w:r>
        <w:t>Diese Belastung ist in Szenarien B (Akte 09) und C (Akte 10) faktisch identisch.</w:t>
      </w:r>
    </w:p>
    <w:p>
      <w:pPr>
        <w:pStyle w:val="Heading2"/>
      </w:pPr>
      <w:r>
        <w:rPr>
          <w:rFonts w:ascii="Times New Roman" w:hAnsi="Times New Roman"/>
        </w:rPr>
        <w:t>5. Verrechnung in Szenario A (Akte 08)</w:t>
      </w:r>
    </w:p>
    <w:p>
      <w:pPr>
        <w:jc w:val="left"/>
      </w:pPr>
      <w:r>
        <w:t>In Szenario A entsteht der Gewinn erst mit Löschung der GmbH; das Steuersubjekt erlischt zugleich. Eine Verrechnung ist nicht erforderlich — der "rechnerische" Gewinn ist mangels Subjekt nicht festsetzbar (FG Koeln 13 K 3006/11). Die Verlustvorträge erlöschen ebenfalls mit Löschung.</w:t>
      </w:r>
    </w:p>
    <w:p>
      <w:pPr>
        <w:jc w:val="left"/>
      </w:pPr>
      <w:r>
        <w:rPr>
          <w:b/>
        </w:rPr>
        <w:t>Wirtschaftlich</w:t>
      </w:r>
      <w:r>
        <w:t>: Szenario A "verschenkt" die Verlustvorträge (2,38 Mio. EUR KSt + 2,26 Mio. EUR GewSt) — aber dies wäre ohnehin der Fall, da die GmbH eingestellt wird und keine künftigen Gewinne mehr erwirtschaftet.</w:t>
      </w:r>
    </w:p>
    <w:p>
      <w:pPr>
        <w:pStyle w:val="Heading2"/>
      </w:pPr>
      <w:r>
        <w:rPr>
          <w:rFonts w:ascii="Times New Roman" w:hAnsi="Times New Roman"/>
        </w:rPr>
        <w:t>6. Hilfsweise: Verrechnungssimulation, falls § 3a EStG doch greift</w:t>
      </w:r>
    </w:p>
    <w:p>
      <w:pPr>
        <w:jc w:val="left"/>
      </w:pPr>
      <w:r>
        <w:t>(Wir vertreten, dass § 3a EStG nicht greift, vgl. Akte 11. Hilfsweise simulieren wir die Wirkung.)</w:t>
      </w:r>
    </w:p>
    <w:p>
      <w:pPr>
        <w:pStyle w:val="Heading3"/>
      </w:pPr>
      <w:r>
        <w:rPr>
          <w:rFonts w:ascii="Times New Roman" w:hAnsi="Times New Roman"/>
        </w:rPr>
        <w:t>6.1 Szenario, in dem § 3a EStG bejaht würde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Laufendes Ergebnis 2026 (vor 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50.000 (geschätzt, Lohnkosten, Liquidationskosten)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nach Verrechnung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aus Vorjahren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2.380.000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nach Verrechnung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(Saldo negativ: 30.000 EUR Verlustvortrag bleibt zur Aufzehrung, geht aber gem. § 3a Abs. 3 EStG unter)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Negative Einkünfte Sanierungsjahr (nicht vorhanden, da Ertrag positiv)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Steuerfreier Sanierungsertrag (Rest)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(vollständig aufgezehrt)</w:t>
            </w:r>
          </w:p>
        </w:tc>
      </w:tr>
    </w:tbl>
    <w:p>
      <w:pPr>
        <w:jc w:val="left"/>
      </w:pPr>
      <w:r>
        <w:t>In diesem hypothetischen Szenario wäre keine KSt mehr fällig. § 3a Abs. 3 EStG führt zum Verlust des Restverlustvortrags von 30.000 EUR (zumindest gem. der Auslegung, dass auch der "ueberschiessende" Verlustvortrag zur Verrechnung in Anspruch genommen werden muss).</w:t>
      </w:r>
    </w:p>
    <w:p>
      <w:pPr>
        <w:pStyle w:val="Heading3"/>
      </w:pPr>
      <w:r>
        <w:rPr>
          <w:rFonts w:ascii="Times New Roman" w:hAnsi="Times New Roman"/>
        </w:rPr>
        <w:t>6.2 Mindestbesteuerung im § 3a-EStG-Kontext</w:t>
      </w:r>
    </w:p>
    <w:p>
      <w:pPr>
        <w:jc w:val="left"/>
      </w:pPr>
      <w:r>
        <w:t xml:space="preserve">Anders als bei der allgemeinen Verlustabzugsbeschränkung greift im § 3a EStG die Mindestbesteuerung </w:t>
      </w:r>
      <w:r>
        <w:rPr>
          <w:b/>
        </w:rPr>
        <w:t>nicht</w:t>
      </w:r>
      <w:r>
        <w:t xml:space="preserve"> (§ 3a Abs. 3 S. 2 EStG: Verrechnung ohne Mindestbesteuerung). Damit ist im hypothetischen Sanierungs-Szenario die volle Verrechnung möglich.</w:t>
      </w:r>
    </w:p>
    <w:p>
      <w:pPr>
        <w:pStyle w:val="Heading2"/>
      </w:pPr>
      <w:r>
        <w:rPr>
          <w:rFonts w:ascii="Times New Roman" w:hAnsi="Times New Roman"/>
        </w:rPr>
        <w:t>7. Gesamtergebnis</w:t>
      </w:r>
    </w:p>
    <w:p>
      <w:pPr>
        <w:pStyle w:val="ListBullet"/>
      </w:pPr>
      <w:r>
        <w:rPr>
          <w:b/>
        </w:rPr>
        <w:t>Im Mandatsfall (Szenarien B/C)</w:t>
      </w:r>
      <w:r>
        <w:t>: Belastung 168.980 EUR; Verlustvorträge werden bis zur Mindestbesteuerungsgrenze verbraucht; Restverlust 540.000 EUR (KSt) geht mit Löschung unter.</w:t>
      </w:r>
    </w:p>
    <w:p>
      <w:pPr>
        <w:pStyle w:val="ListBullet"/>
      </w:pPr>
      <w:r>
        <w:rPr>
          <w:b/>
        </w:rPr>
        <w:t>Im Mandatsfall (Szenario A)</w:t>
      </w:r>
      <w:r>
        <w:t>: keine Belastung; Verlustvorträge erlöschen mit Löschung ungenutzt.</w:t>
      </w:r>
    </w:p>
    <w:p>
      <w:pPr>
        <w:pStyle w:val="ListBullet"/>
      </w:pPr>
      <w:r>
        <w:rPr>
          <w:b/>
        </w:rPr>
        <w:t>Hypothetisch (§ 3a EStG bejaht)</w:t>
      </w:r>
      <w:r>
        <w:t>: keine Belastung; Verlustvorträge werden vorrangig verrechnet und gehen weitgehend unter — aber der Sanierungsertrag wäre steuerfrei.</w:t>
      </w:r>
    </w:p>
    <w:p>
      <w:pPr>
        <w:pStyle w:val="Heading2"/>
      </w:pPr>
      <w:r>
        <w:rPr>
          <w:rFonts w:ascii="Times New Roman" w:hAnsi="Times New Roman"/>
        </w:rPr>
        <w:t>8. Empfehlung</w:t>
      </w:r>
    </w:p>
    <w:p>
      <w:pPr>
        <w:pStyle w:val="ListBullet"/>
      </w:pPr>
      <w:r>
        <w:t xml:space="preserve">Da § 3a EStG </w:t>
      </w:r>
      <w:r>
        <w:rPr>
          <w:b/>
        </w:rPr>
        <w:t>nicht</w:t>
      </w:r>
      <w:r>
        <w:t xml:space="preserve"> greift (Akte 11), ist die obige Mindestbesteuerungs-Rechnung Realität, wenn Szenarien B oder C eintreten.</w:t>
      </w:r>
    </w:p>
    <w:p>
      <w:pPr>
        <w:pStyle w:val="ListBullet"/>
      </w:pPr>
      <w:r>
        <w:rPr>
          <w:b/>
        </w:rPr>
        <w:t>Primaerstrategie</w:t>
      </w:r>
      <w:r>
        <w:t>: Szenario A (Akte 08, 16) verfolgen — verbindliche Auskunft FA Berlin-Charlottenburg einholen (Akte 13).</w:t>
      </w:r>
    </w:p>
    <w:p>
      <w:pPr>
        <w:pStyle w:val="ListBullet"/>
      </w:pPr>
      <w:r>
        <w:rPr>
          <w:b/>
        </w:rPr>
        <w:t>Reservestrategie</w:t>
      </w:r>
      <w:r>
        <w:t>: Sollte das FA Berlin-Charlottenburg dennoch eine Ausbuchung verlangen oder die Gesellschafterin doch verzichten müssen, ist Akte 09 / 10 mit der Belastungsrechnung 168.980 EUR die zu erwartende Folge.</w:t>
      </w:r>
    </w:p>
    <w:p>
      <w:pPr>
        <w:pStyle w:val="Heading2"/>
      </w:pPr>
      <w:r>
        <w:rPr>
          <w:rFonts w:ascii="Times New Roman" w:hAnsi="Times New Roman"/>
        </w:rPr>
        <w:t>9. Querverweise</w:t>
      </w:r>
    </w:p>
    <w:p>
      <w:pPr>
        <w:pStyle w:val="ListBullet"/>
      </w:pPr>
      <w:r>
        <w:t>Akte 09 (Szenario B), Akte 10 (Szenario C): Rechnerische Belastung.</w:t>
      </w:r>
    </w:p>
    <w:p>
      <w:pPr>
        <w:pStyle w:val="ListBullet"/>
      </w:pPr>
      <w:r>
        <w:t>Akte 11: § 3a EStG-Pruefung — Sanierungseignung fehlt.</w:t>
      </w:r>
    </w:p>
    <w:p>
      <w:pPr>
        <w:pStyle w:val="ListBullet"/>
      </w:pPr>
      <w:r>
        <w:t>Akte 18: CSV-Szenarienrechnung.</w:t>
      </w:r>
    </w:p>
    <w:p>
      <w:pPr>
        <w:pStyle w:val="Heading2"/>
      </w:pPr>
      <w:r>
        <w:rPr>
          <w:rFonts w:ascii="Times New Roman" w:hAnsi="Times New Roman"/>
        </w:rPr>
        <w:t>10. Quellenverzeichnis</w:t>
      </w:r>
    </w:p>
    <w:p>
      <w:pPr>
        <w:pStyle w:val="ListBullet"/>
      </w:pPr>
      <w:r>
        <w:t>§ 3a Abs. 3 EStG.</w:t>
      </w:r>
    </w:p>
    <w:p>
      <w:pPr>
        <w:pStyle w:val="ListBullet"/>
      </w:pPr>
      <w:r>
        <w:t>§ 10d Abs. 2 EStG (Mindestbesteuerung), § 8 Abs. 1 KStG.</w:t>
      </w:r>
    </w:p>
    <w:p>
      <w:pPr>
        <w:pStyle w:val="ListBullet"/>
      </w:pPr>
      <w:r>
        <w:t>§ 8c KStG, § 8d KStG.</w:t>
      </w:r>
    </w:p>
    <w:p>
      <w:pPr>
        <w:pStyle w:val="ListBullet"/>
      </w:pPr>
      <w:r>
        <w:t>§ 11 KStG.</w:t>
      </w:r>
    </w:p>
    <w:p>
      <w:pPr>
        <w:pStyle w:val="ListBullet"/>
      </w:pPr>
      <w:r>
        <w:t>§ 7b GewStG; § 36 Abs. 2c GewStG.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Handelshof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Strassburger Handelshof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HRB 188742 B AG Charlottenburg · Aktenzeichen Kanzlei: PE-2026-LIQ-0188 /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