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Korrespondenz mit FA Berlin-Charlottenburg und Antrag auf verbindliche Auskunft</w:t>
      </w:r>
    </w:p>
    <w:p/>
    <w:p>
      <w:pPr>
        <w:pStyle w:val="Heading2"/>
      </w:pPr>
      <w:r>
        <w:rPr>
          <w:rFonts w:ascii="Times New Roman" w:hAnsi="Times New Roman"/>
        </w:rPr>
        <w:t>1. Mitteilung der Auflösung an das Finanzamt (§ 137 AO)</w:t>
      </w:r>
    </w:p>
    <w:p>
      <w:pPr>
        <w:jc w:val="left"/>
      </w:pPr>
      <w:r>
        <w:rPr>
          <w:b/>
        </w:rPr>
        <w:t>Pinneberg, Eschberg und Partner mbB</w:t>
      </w:r>
    </w:p>
    <w:p>
      <w:pPr>
        <w:jc w:val="left"/>
      </w:pPr>
      <w:r>
        <w:t>Kantstrasse 88, 10625 Berlin-Charlottenburg</w:t>
      </w:r>
    </w:p>
    <w:p>
      <w:pPr>
        <w:jc w:val="left"/>
      </w:pPr>
      <w:r>
        <w:t xml:space="preserve">An das </w:t>
      </w:r>
      <w:r>
        <w:rPr>
          <w:b/>
        </w:rPr>
        <w:t>Finanzamt Berlin-Charlottenburg</w:t>
      </w:r>
    </w:p>
    <w:p>
      <w:pPr>
        <w:jc w:val="left"/>
      </w:pPr>
      <w:r>
        <w:t>Bismarckstrasse 48, 10627 Berlin</w:t>
      </w:r>
    </w:p>
    <w:p>
      <w:pPr>
        <w:jc w:val="left"/>
      </w:pPr>
      <w:r>
        <w:t>Datum: 30.04.2026</w:t>
      </w:r>
    </w:p>
    <w:p>
      <w:pPr>
        <w:jc w:val="left"/>
      </w:pPr>
      <w:r>
        <w:t>Steuer-Nr.: 27/118/04188</w:t>
      </w:r>
    </w:p>
    <w:p>
      <w:pPr>
        <w:jc w:val="left"/>
      </w:pPr>
      <w:r>
        <w:t>Mandantin: Strassburger Handelshof GmbH i.L.</w:t>
      </w:r>
    </w:p>
    <w:p>
      <w:pPr>
        <w:jc w:val="left"/>
      </w:pPr>
      <w:r>
        <w:rPr>
          <w:b/>
        </w:rPr>
        <w:t>Mitteilung über die Auflösung der Gesellschaft (§ 137 AO)</w:t>
      </w:r>
    </w:p>
    <w:p>
      <w:pPr>
        <w:jc w:val="left"/>
      </w:pPr>
      <w:r>
        <w:t>Sehr geehrte Damen und Herren,</w:t>
      </w:r>
    </w:p>
    <w:p>
      <w:pPr>
        <w:jc w:val="left"/>
      </w:pPr>
      <w:r>
        <w:t xml:space="preserve">namens und in Vollmacht der </w:t>
      </w:r>
      <w:r>
        <w:rPr>
          <w:b/>
        </w:rPr>
        <w:t>Strassburger Handelshof GmbH i.L.</w:t>
      </w:r>
      <w:r>
        <w:t xml:space="preserve"> (HRB 188742 B, AG Charlottenburg) zeige ich folgende Vorgänge an:</w:t>
      </w:r>
    </w:p>
    <w:p>
      <w:pPr>
        <w:pStyle w:val="ListNumber"/>
      </w:pPr>
      <w:r>
        <w:t xml:space="preserve">Mit Beschluss der Alleingesellschafterin vom </w:t>
      </w:r>
      <w:r>
        <w:rPr>
          <w:b/>
        </w:rPr>
        <w:t>15. April 2026</w:t>
      </w:r>
      <w:r>
        <w:t xml:space="preserve"> ist die Gesellschaft nach § 60 Abs. 1 Nr. 2 GmbHG aufgelöst worden.</w:t>
      </w:r>
    </w:p>
    <w:p>
      <w:pPr>
        <w:pStyle w:val="ListNumber"/>
      </w:pPr>
      <w:r>
        <w:t>Zur Liquidatorin ist Frau Helene Strassburger-Wittenburg bestellt; sie ist alleinvertretungsberechtigt und von den Beschränkungen des § 181 BGB befreit.</w:t>
      </w:r>
    </w:p>
    <w:p>
      <w:pPr>
        <w:pStyle w:val="ListNumber"/>
      </w:pPr>
      <w:r>
        <w:t>Die Auflösung ist im Handelsregister AG Charlottenburg am 26.04.2026 eingetragen worden.</w:t>
      </w:r>
    </w:p>
    <w:p>
      <w:pPr>
        <w:pStyle w:val="ListNumber"/>
      </w:pPr>
      <w:r>
        <w:t>Die Bekanntmachung im Unternehmensregister mit Gläubigeraufruf nach § 65 Abs. 2 GmbHG erfolgt erstmals am 28.04.2026.</w:t>
      </w:r>
    </w:p>
    <w:p>
      <w:pPr>
        <w:pStyle w:val="ListNumber"/>
      </w:pPr>
      <w:r>
        <w:t>Die Liquidations-Eröffnungsbilanz auf den 15.04.2026 wird Ihnen mit der KSt-Erklärung 2026 vorgelegt.</w:t>
      </w:r>
    </w:p>
    <w:p>
      <w:pPr>
        <w:jc w:val="left"/>
      </w:pPr>
      <w:r>
        <w:t>Ich darf um Vormerkung im Steuerkonto bitten. Die Vertretungsverhältnisse sind unverändert; ich bitte um Versand sämtlicher Schreiben an die Kanzleianschrift.</w:t>
      </w:r>
    </w:p>
    <w:p>
      <w:pPr>
        <w:jc w:val="left"/>
      </w:pPr>
      <w:r>
        <w:t>Mit freundlichen Gruessen</w:t>
      </w:r>
    </w:p>
    <w:p>
      <w:pPr>
        <w:jc w:val="left"/>
      </w:pPr>
      <w:r>
        <w:rPr>
          <w:i/>
        </w:rPr>
        <w:t>Dr. Cordula Pinneberg-Talheim</w:t>
      </w:r>
    </w:p>
    <w:p>
      <w:pPr>
        <w:jc w:val="left"/>
      </w:pPr>
      <w:r>
        <w:rPr>
          <w:i/>
        </w:rPr>
        <w:t>Steuerberaterin und Rechtsanwältin</w:t>
      </w:r>
    </w:p>
    <w:p/>
    <w:p>
      <w:pPr>
        <w:pStyle w:val="Heading2"/>
      </w:pPr>
      <w:r>
        <w:rPr>
          <w:rFonts w:ascii="Times New Roman" w:hAnsi="Times New Roman"/>
        </w:rPr>
        <w:t>2. Eingangsbestätigung des FA</w:t>
      </w:r>
    </w:p>
    <w:p>
      <w:pPr>
        <w:jc w:val="left"/>
      </w:pPr>
      <w:r>
        <w:rPr>
          <w:b/>
        </w:rPr>
        <w:t>Finanzamt Berlin-Charlottenburg</w:t>
      </w:r>
    </w:p>
    <w:p>
      <w:pPr>
        <w:jc w:val="left"/>
      </w:pPr>
      <w:r>
        <w:rPr>
          <w:i/>
        </w:rPr>
        <w:t>Sachgebiet KSt</w:t>
      </w:r>
    </w:p>
    <w:p>
      <w:pPr>
        <w:jc w:val="left"/>
      </w:pPr>
      <w:r>
        <w:t>Datum: 06.05.2026</w:t>
      </w:r>
    </w:p>
    <w:p>
      <w:pPr>
        <w:jc w:val="left"/>
      </w:pPr>
      <w:r>
        <w:t>Az.: 27/118/04188 / Liquidation / 26-188</w:t>
      </w:r>
    </w:p>
    <w:p>
      <w:pPr>
        <w:ind w:left="567"/>
      </w:pPr>
      <w:r>
        <w:rPr>
          <w:i/>
        </w:rPr>
        <w:t xml:space="preserve">"Ihre Mitteilung vom 30.04.2026 ist eingegangen. Wir merken die Auflösung der Gesellschaft im Steuerkonto vor. Bitte beachten Sie, dass mit der Eröffnung des Liquidationsbesteuerungszeitraums nach § 11 KStG ein gesonderter Veranlagungszeitraum beginnt. Wir bitten um Abgabe der KSt-Erklärung 2026 spätestens bis 31.07.2027. Bezüglich der bilanziellen Behandlung des Gesellschafterdarlehens behalten wir uns eine eigene Pruefung vor. Mit freundlichen Gruessen, im Auftrag, </w:t>
      </w:r>
      <w:r>
        <w:rPr>
          <w:i/>
        </w:rPr>
        <w:t>Sachbearbeiterin Frau Bremer</w:t>
      </w:r>
      <w:r>
        <w:rPr>
          <w:i/>
        </w:rPr>
        <w:t>."</w:t>
      </w:r>
    </w:p>
    <w:p/>
    <w:p>
      <w:pPr>
        <w:pStyle w:val="Heading2"/>
      </w:pPr>
      <w:r>
        <w:rPr>
          <w:rFonts w:ascii="Times New Roman" w:hAnsi="Times New Roman"/>
        </w:rPr>
        <w:t>3. Antrag auf verbindliche Auskunft nach § 89 Abs. 2 AO</w:t>
      </w:r>
    </w:p>
    <w:p>
      <w:pPr>
        <w:jc w:val="left"/>
      </w:pPr>
      <w:r>
        <w:rPr>
          <w:b/>
        </w:rPr>
        <w:t>Pinneberg, Eschberg und Partner mbB</w:t>
      </w:r>
    </w:p>
    <w:p>
      <w:pPr>
        <w:jc w:val="left"/>
      </w:pPr>
      <w:r>
        <w:t>Kantstrasse 88, 10625 Berlin-Charlottenburg</w:t>
      </w:r>
    </w:p>
    <w:p>
      <w:pPr>
        <w:jc w:val="left"/>
      </w:pPr>
      <w:r>
        <w:t xml:space="preserve">An das </w:t>
      </w:r>
      <w:r>
        <w:rPr>
          <w:b/>
        </w:rPr>
        <w:t>Finanzamt Berlin-Charlottenburg</w:t>
      </w:r>
    </w:p>
    <w:p>
      <w:pPr>
        <w:jc w:val="left"/>
      </w:pPr>
      <w:r>
        <w:t>Bismarckstrasse 48, 10627 Berlin</w:t>
      </w:r>
    </w:p>
    <w:p>
      <w:pPr>
        <w:jc w:val="left"/>
      </w:pPr>
      <w:r>
        <w:rPr>
          <w:i/>
        </w:rPr>
        <w:t>Sachgebiet KSt — z.Hd. Frau Bremer</w:t>
      </w:r>
    </w:p>
    <w:p>
      <w:pPr>
        <w:jc w:val="left"/>
      </w:pPr>
      <w:r>
        <w:t>Datum: 20.05.2026</w:t>
      </w:r>
    </w:p>
    <w:p>
      <w:pPr>
        <w:jc w:val="left"/>
      </w:pPr>
      <w:r>
        <w:t>Steuer-Nr.: 27/118/04188</w:t>
      </w:r>
    </w:p>
    <w:p>
      <w:pPr>
        <w:jc w:val="left"/>
      </w:pPr>
      <w:r>
        <w:t>Mandantin: Strassburger Handelshof GmbH i.L., HRB 188742 B AG Charlottenburg</w:t>
      </w:r>
    </w:p>
    <w:p>
      <w:pPr>
        <w:jc w:val="left"/>
      </w:pPr>
      <w:r>
        <w:rPr>
          <w:b/>
        </w:rPr>
        <w:t>Antrag auf verbindliche Auskunft nach § 89 Abs. 2 AO</w:t>
      </w:r>
    </w:p>
    <w:p>
      <w:pPr>
        <w:jc w:val="left"/>
      </w:pPr>
      <w:r>
        <w:t>Sehr geehrte Frau Bremer,</w:t>
      </w:r>
    </w:p>
    <w:p>
      <w:pPr>
        <w:jc w:val="left"/>
      </w:pPr>
      <w:r>
        <w:t xml:space="preserve">namens und in Vollmacht der Mandantin und ihrer Alleingesellschafterin Frau Helene Strassburger-Wittenburg beantrage ich die Erteilung einer </w:t>
      </w:r>
      <w:r>
        <w:rPr>
          <w:b/>
        </w:rPr>
        <w:t>verbindlichen Auskunft</w:t>
      </w:r>
      <w:r>
        <w:t xml:space="preserve"> mit folgendem Inhalt:</w:t>
      </w:r>
    </w:p>
    <w:p>
      <w:pPr>
        <w:pStyle w:val="Heading3"/>
      </w:pPr>
      <w:r>
        <w:rPr>
          <w:rFonts w:ascii="Times New Roman" w:hAnsi="Times New Roman"/>
        </w:rPr>
        <w:t>3.1 Antragsgegenstand (Frage 1)</w:t>
      </w:r>
    </w:p>
    <w:p>
      <w:pPr>
        <w:ind w:left="567"/>
      </w:pPr>
      <w:r>
        <w:rPr>
          <w:i/>
        </w:rPr>
        <w:t>"Die Verbindlichkeit aus dem nachrangigen Gesellschafterdarlehen der Frau Helene Strassburger-Wittenburg gegen die Strassburger Handelshof GmbH i.L. in Höhe von 2.400.000,00 EUR ist in der Liquidations-Eröffnungsbilanz zum 15.04.2026 und in den Folgebilanzen bis zur Löschung im Handelsregister steuerbilanziell als Verbindlichkeit auszuweisen. § 5 Abs. 2a EStG führt nicht zur Ausbuchung."</w:t>
      </w:r>
    </w:p>
    <w:p>
      <w:pPr>
        <w:pStyle w:val="Heading3"/>
      </w:pPr>
      <w:r>
        <w:rPr>
          <w:rFonts w:ascii="Times New Roman" w:hAnsi="Times New Roman"/>
        </w:rPr>
        <w:t>3.2 Antragsgegenstand (Frage 2)</w:t>
      </w:r>
    </w:p>
    <w:p>
      <w:pPr>
        <w:ind w:left="567"/>
      </w:pPr>
      <w:r>
        <w:rPr>
          <w:i/>
        </w:rPr>
        <w:t>"Mit der Löschung der Strassburger Handelshof GmbH i.L. im Handelsregister erlischt die Verbindlichkeit zugleich mit dem Steuersubjekt. Ein dadurch rechtstheoretisch entstehender Sanierungsgewinn ist mangels Koerperschaftsteuersubjekts (§ 1 KStG) nicht mehr festsetzbar."</w:t>
      </w:r>
    </w:p>
    <w:p>
      <w:pPr>
        <w:pStyle w:val="Heading3"/>
      </w:pPr>
      <w:r>
        <w:rPr>
          <w:rFonts w:ascii="Times New Roman" w:hAnsi="Times New Roman"/>
        </w:rPr>
        <w:t>3.3 Antragsgegenstand (Frage 3 — hilfsweise)</w:t>
      </w:r>
    </w:p>
    <w:p>
      <w:pPr>
        <w:ind w:left="567"/>
      </w:pPr>
      <w:r>
        <w:rPr>
          <w:i/>
        </w:rPr>
        <w:t>"Sollte die Behörde der Auffassung sein, dass die Verbindlichkeit nach § 5 Abs. 2a EStG vorzeitig auszubuchen ist, sind die Voraussetzungen des § 3a EStG (Steuerfreiheit Sanierungsertrag) in der Konstellation einer reinen Liquidation nicht erfüllt; insbesondere fehlt die Sanierungseignung."</w:t>
      </w:r>
    </w:p>
    <w:p>
      <w:pPr>
        <w:pStyle w:val="Heading3"/>
      </w:pPr>
      <w:r>
        <w:rPr>
          <w:rFonts w:ascii="Times New Roman" w:hAnsi="Times New Roman"/>
        </w:rPr>
        <w:t>3.4 Sachverhaltsdarstellung</w:t>
      </w:r>
    </w:p>
    <w:p>
      <w:pPr>
        <w:jc w:val="left"/>
      </w:pPr>
      <w:r>
        <w:t>Die Strassburger Handelshof GmbH wurde am 03.06.1998 gegründet. Sie betreibt den B2B-Grosshandel mit gehobener Damenmode. Seit der COVID-19-Pandemie ist das Geschäftsmodell zusammengebrochen; der Lagerbestand wurde 2025 vollständig abverkauft. Mit Beschluss der Alleingesellschafterin vom 15.04.2026 ist die Gesellschaft nach § 60 Abs. 1 Nr. 2 GmbHG aufgelöst worden.</w:t>
      </w:r>
    </w:p>
    <w:p>
      <w:pPr>
        <w:jc w:val="left"/>
      </w:pPr>
      <w:r>
        <w:t xml:space="preserve">Frau Helene Strassburger-Wittenburg hat der Gesellschaft seit 2018 ein Darlehen in Höhe von zunächst 1.800.000 EUR (Vertrag SH-GD-2018-01) gewährt; 2021 wurde es um 600.000 EUR aufgestockt (Änderungsvereinbarung SH-GD-2021-02). Mit der Änderungsvereinbarung wurde ein </w:t>
      </w:r>
      <w:r>
        <w:rPr>
          <w:b/>
        </w:rPr>
        <w:t>qualifizierter Rangrücktritt mit Tilgungsvorbehalt aus zukünftigem Bilanzgewinn, Liquidationsüberschuss und sonstigem freien Vermögen</w:t>
      </w:r>
      <w:r>
        <w:t xml:space="preserve"> vereinbart. Die Klausel ist in Anlage 1 wörtlich wiedergegeben.</w:t>
      </w:r>
    </w:p>
    <w:p>
      <w:pPr>
        <w:jc w:val="left"/>
      </w:pPr>
      <w:r>
        <w:t xml:space="preserve">Frau Strassburger-Wittenburg hat erklärt, sie werde </w:t>
      </w:r>
      <w:r>
        <w:rPr>
          <w:b/>
        </w:rPr>
        <w:t>nicht</w:t>
      </w:r>
      <w:r>
        <w:t xml:space="preserve"> auf das Darlehen verzichten. Sie will die Liquidation ordnungsgemaess abwickeln; die Verbindlichkeit soll bis zur Löschung im Handelsregister bestehen bleiben.</w:t>
      </w:r>
    </w:p>
    <w:p>
      <w:pPr>
        <w:pStyle w:val="Heading3"/>
      </w:pPr>
      <w:r>
        <w:rPr>
          <w:rFonts w:ascii="Times New Roman" w:hAnsi="Times New Roman"/>
        </w:rPr>
        <w:t>3.5 Rechtliche Begründung</w:t>
      </w:r>
    </w:p>
    <w:p>
      <w:pPr>
        <w:jc w:val="left"/>
      </w:pPr>
      <w:r>
        <w:t>Die Mandantin beruft sich auf:</w:t>
      </w:r>
    </w:p>
    <w:p>
      <w:pPr>
        <w:pStyle w:val="ListBullet"/>
      </w:pPr>
      <w:r>
        <w:rPr>
          <w:b/>
        </w:rPr>
        <w:t>BFH, Urt. v. 26.02.2003 — II R 19/01</w:t>
      </w:r>
      <w:r>
        <w:t>: Verbindlichkeiten gehen nicht allein durch Auflösung oder Vermögenslosigkeit unter.</w:t>
      </w:r>
    </w:p>
    <w:p>
      <w:pPr>
        <w:pStyle w:val="ListBullet"/>
      </w:pPr>
      <w:r>
        <w:rPr>
          <w:b/>
        </w:rPr>
        <w:t>OFD Frankfurt a. M.</w:t>
      </w:r>
      <w:r>
        <w:t>: Auflösungsbeschluss ist kein konkludenter Forderungsverzicht.</w:t>
      </w:r>
    </w:p>
    <w:p>
      <w:pPr>
        <w:pStyle w:val="ListBullet"/>
      </w:pPr>
      <w:r>
        <w:rPr>
          <w:b/>
        </w:rPr>
        <w:t>FG Koeln, Urt. v. 06.03.2012 — 13 K 3006/11</w:t>
      </w:r>
      <w:r>
        <w:t>, GmbHR 2012, 977 (vorgehend zu BFH I R 34/12): Bei qualifiziertem Rangrücktritt und Liquidation entsteht der Wegfallgewinn erst mit der Löschung der GmbH; mangels Koerperschaftsteuersubjekts ist dieser nicht festsetzbar.</w:t>
      </w:r>
    </w:p>
    <w:p>
      <w:pPr>
        <w:pStyle w:val="ListBullet"/>
      </w:pPr>
      <w:r>
        <w:rPr>
          <w:b/>
        </w:rPr>
        <w:t>§ 5 Abs. 2a EStG</w:t>
      </w:r>
      <w:r>
        <w:t xml:space="preserve">: Die hier vereinbarte Rangruecktrittsklausel erlaubt Tilgung </w:t>
      </w:r>
      <w:r>
        <w:rPr>
          <w:b/>
        </w:rPr>
        <w:t>auch aus sonstigem freien Vermögen</w:t>
      </w:r>
      <w:r>
        <w:t xml:space="preserve"> und ist daher nicht ausschliesslich an zukünftige Gewinne gekoppelt. § 5 Abs. 2a EStG ist nicht einschlägig.</w:t>
      </w:r>
    </w:p>
    <w:p>
      <w:pPr>
        <w:pStyle w:val="Heading3"/>
      </w:pPr>
      <w:r>
        <w:rPr>
          <w:rFonts w:ascii="Times New Roman" w:hAnsi="Times New Roman"/>
        </w:rPr>
        <w:t>3.6 Gebühr (§ 89 Abs. 3–5 AO)</w:t>
      </w:r>
    </w:p>
    <w:p>
      <w:pPr>
        <w:jc w:val="left"/>
      </w:pPr>
      <w:r>
        <w:t>Die Gebühr für die verbindliche Auskunft richtet sich nach § 89 Abs. 3 AO. Wir bitten um Gebührenfestsetzung nach Eingang. Der Gegenstandswert (Sanierungsertrag 2.400.000 EUR) wird hilfsweise hier benannt.</w:t>
      </w:r>
    </w:p>
    <w:p>
      <w:pPr>
        <w:pStyle w:val="Heading3"/>
      </w:pPr>
      <w:r>
        <w:rPr>
          <w:rFonts w:ascii="Times New Roman" w:hAnsi="Times New Roman"/>
        </w:rPr>
        <w:t>3.7 Anlagen</w:t>
      </w:r>
    </w:p>
    <w:p>
      <w:pPr>
        <w:pStyle w:val="ListBullet"/>
      </w:pPr>
      <w:r>
        <w:t>Anlage 1: Änderungsvereinbarung SH-GD-2021-02 (Rangruecktrittsklausel).</w:t>
      </w:r>
    </w:p>
    <w:p>
      <w:pPr>
        <w:pStyle w:val="ListBullet"/>
      </w:pPr>
      <w:r>
        <w:t>Anlage 2: Liquidations-Eröffnungsbilanz zum 15.04.2026.</w:t>
      </w:r>
    </w:p>
    <w:p>
      <w:pPr>
        <w:pStyle w:val="ListBullet"/>
      </w:pPr>
      <w:r>
        <w:t>Anlage 3: Auflösungsbeschluss vom 15.04.2026.</w:t>
      </w:r>
    </w:p>
    <w:p>
      <w:pPr>
        <w:pStyle w:val="ListBullet"/>
      </w:pPr>
      <w:r>
        <w:t>Anlage 4: Kanzleimemo zu BFH II R 19/01, OFD Frankfurt und FG Koeln 13 K 3006/11.</w:t>
      </w:r>
    </w:p>
    <w:p>
      <w:pPr>
        <w:jc w:val="left"/>
      </w:pPr>
      <w:r>
        <w:t>Wir bitten um umgehende Bearbeitung und stehen für ergänzende Erläuterungen zur Verfügung. Wegen der Liquidationsplanung und der Beendigung des Sperrjahres im April 2027 ist eine vorhersehbare Entscheidung sinnvoll.</w:t>
      </w:r>
    </w:p>
    <w:p>
      <w:pPr>
        <w:jc w:val="left"/>
      </w:pPr>
      <w:r>
        <w:t>Mit freundlichen Gruessen</w:t>
      </w:r>
    </w:p>
    <w:p>
      <w:pPr>
        <w:jc w:val="left"/>
      </w:pPr>
      <w:r>
        <w:rPr>
          <w:i/>
        </w:rPr>
        <w:t>Dr. Cordula Pinneberg-Talheim</w:t>
      </w:r>
    </w:p>
    <w:p>
      <w:pPr>
        <w:jc w:val="left"/>
      </w:pPr>
      <w:r>
        <w:rPr>
          <w:i/>
        </w:rPr>
        <w:t>Steuerberaterin und Rechtsanwältin</w:t>
      </w:r>
    </w:p>
    <w:p/>
    <w:p>
      <w:pPr>
        <w:pStyle w:val="Heading2"/>
      </w:pPr>
      <w:r>
        <w:rPr>
          <w:rFonts w:ascii="Times New Roman" w:hAnsi="Times New Roman"/>
        </w:rPr>
        <w:t>4. Eingangsbestätigung des FA für den Auskunftsantrag</w:t>
      </w:r>
    </w:p>
    <w:p>
      <w:pPr>
        <w:jc w:val="left"/>
      </w:pPr>
      <w:r>
        <w:rPr>
          <w:b/>
        </w:rPr>
        <w:t>Finanzamt Berlin-Charlottenburg</w:t>
      </w:r>
    </w:p>
    <w:p>
      <w:pPr>
        <w:jc w:val="left"/>
      </w:pPr>
      <w:r>
        <w:rPr>
          <w:i/>
        </w:rPr>
        <w:t>Stabsstelle Verbindliche Auskünfte</w:t>
      </w:r>
    </w:p>
    <w:p>
      <w:pPr>
        <w:jc w:val="left"/>
      </w:pPr>
      <w:r>
        <w:t>Datum: 27.05.2026</w:t>
      </w:r>
    </w:p>
    <w:p>
      <w:pPr>
        <w:jc w:val="left"/>
      </w:pPr>
      <w:r>
        <w:t>Az.: VA-2026-44-188</w:t>
      </w:r>
    </w:p>
    <w:p>
      <w:pPr>
        <w:ind w:left="567"/>
      </w:pPr>
      <w:r>
        <w:rPr>
          <w:i/>
        </w:rPr>
        <w:t xml:space="preserve">"Ihren Antrag vom 20.05.2026 auf Erteilung einer verbindlichen Auskunft haben wir erhalten. Die Bearbeitung erfolgt durch das Sachgebiet KSt in Zusammenarbeit mit unserer Stabsstelle. Wir werden uns bemühen, Ihnen binnen 6 Monaten zu antworten. Wegen der Frage der Sanierungseignung im § 3a EStG-Kontext erbitten wir die Stellungnahme der OFD und ggf. des BMF. Mit freundlichen Gruessen, im Auftrag, </w:t>
      </w:r>
      <w:r>
        <w:rPr>
          <w:i/>
        </w:rPr>
        <w:t>Sachbearbeiterin Frau Dr. Liebermann-Voet</w:t>
      </w:r>
      <w:r>
        <w:rPr>
          <w:i/>
        </w:rPr>
        <w:t>."</w:t>
      </w:r>
    </w:p>
    <w:p/>
    <w:p>
      <w:pPr>
        <w:pStyle w:val="Heading2"/>
      </w:pPr>
      <w:r>
        <w:rPr>
          <w:rFonts w:ascii="Times New Roman" w:hAnsi="Times New Roman"/>
        </w:rPr>
        <w:t>5. Erwartete Antwort und nächste Schritte</w:t>
      </w:r>
    </w:p>
    <w:p>
      <w:pPr>
        <w:pStyle w:val="ListBullet"/>
      </w:pPr>
      <w:r>
        <w:t xml:space="preserve">Die FA-Antwort wird voraussichtlich im </w:t>
      </w:r>
      <w:r>
        <w:rPr>
          <w:b/>
        </w:rPr>
        <w:t>Oktober/November 2026</w:t>
      </w:r>
      <w:r>
        <w:t xml:space="preserve"> vorliegen.</w:t>
      </w:r>
    </w:p>
    <w:p>
      <w:pPr>
        <w:pStyle w:val="ListBullet"/>
      </w:pPr>
      <w:r>
        <w:t>Im Falle einer ablehnenden Antwort (Annahme von Ausbuchungspflicht und/oder Steuerpflicht) ist Klage zum FG Berlin-Brandenburg zu prüfen.</w:t>
      </w:r>
    </w:p>
    <w:p>
      <w:pPr>
        <w:pStyle w:val="ListBullet"/>
      </w:pPr>
      <w:r>
        <w:t>Im Falle einer zustimmenden Antwort wird die Strategie nach Szenario A weiterverfolgt; die Liquidation läuft bis nach Ablauf des Sperrjahres (28.04.2027) und endet mit Loeschungsantrag.</w:t>
      </w:r>
    </w:p>
    <w:p/>
    <w:p>
      <w:pPr>
        <w:jc w:val="left"/>
      </w:pPr>
      <w:r>
        <w:rPr>
          <w:b/>
        </w:rPr>
        <w:t>Querverweise:</w:t>
      </w:r>
    </w:p>
    <w:p>
      <w:pPr>
        <w:pStyle w:val="ListBullet"/>
      </w:pPr>
      <w:r>
        <w:t>Akte 04: Liquidations-Eröffnungsbilanz (Anlage 2 zum Antrag).</w:t>
      </w:r>
    </w:p>
    <w:p>
      <w:pPr>
        <w:pStyle w:val="ListBullet"/>
      </w:pPr>
      <w:r>
        <w:t>Akte 05: Rangrücktritt (Anlage 1).</w:t>
      </w:r>
    </w:p>
    <w:p>
      <w:pPr>
        <w:pStyle w:val="ListBullet"/>
      </w:pPr>
      <w:r>
        <w:t>Akte 02: Auflösungsbeschluss (Anlage 3).</w:t>
      </w:r>
    </w:p>
    <w:p>
      <w:pPr>
        <w:pStyle w:val="ListBullet"/>
      </w:pPr>
      <w:r>
        <w:t>Akte 07, 08, 16: Memo zur Quellenlage (Anlage 4).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1. Mitteilung der Auflösung an das Finanzamt (§ 137 AO)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1. Mitteilung der Auflösung an das Finanzamt (§ 137 AO)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