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15 — Löschung im Handelsregister und Erlöschen des Steuersubjekts</w:t>
      </w:r>
    </w:p>
    <w:p>
      <w:pPr>
        <w:jc w:val="left"/>
      </w:pPr>
      <w:r>
        <w:rPr>
          <w:b/>
        </w:rPr>
        <w:t>Verfasser:</w:t>
      </w:r>
      <w:r>
        <w:t xml:space="preserve"> Walter Engelmeier (Steuerberater) in Abstimmung mit Notarin Dr. Birkenhainer Berlin.</w:t>
      </w:r>
    </w:p>
    <w:p>
      <w:pPr>
        <w:jc w:val="left"/>
      </w:pPr>
      <w:r>
        <w:rPr>
          <w:b/>
        </w:rPr>
        <w:t>Stand:</w:t>
      </w:r>
      <w:r>
        <w:t xml:space="preserve"> 30.04.2026.</w:t>
      </w:r>
    </w:p>
    <w:p>
      <w:pPr>
        <w:jc w:val="left"/>
      </w:pPr>
      <w:r>
        <w:rPr>
          <w:b/>
        </w:rPr>
        <w:t>Verfahrensrelevanz:</w:t>
      </w:r>
      <w:r>
        <w:t xml:space="preserve"> Voraussetzungen der Löschung; subjektive Körperschaftsteuerpflicht; Lehre vom Doppeltatbestand; Wechselwirkung steuerliche und gesellschaftsrechtliche Beendigung.</w:t>
      </w:r>
    </w:p>
    <w:p/>
    <w:p>
      <w:pPr>
        <w:pStyle w:val="Heading2"/>
      </w:pPr>
      <w:r>
        <w:rPr>
          <w:rFonts w:ascii="Times New Roman" w:hAnsi="Times New Roman"/>
        </w:rPr>
        <w:t>1. Rechtsgrundlage</w:t>
      </w:r>
    </w:p>
    <w:p>
      <w:pPr>
        <w:pStyle w:val="ListBullet"/>
      </w:pPr>
      <w:r>
        <w:rPr>
          <w:b/>
        </w:rPr>
        <w:t>§ 74 Abs. 1 Satz 1 GmbHG:</w:t>
      </w:r>
      <w:r>
        <w:t xml:space="preserve"> Nach Beendigung der Liquidation Anmeldung der Beendigung beim Handelsregister. Nach Eintragung folgt die Löschung der GmbH; mit der Löschung erlischt die GmbH als juristische Person (Lehre vom Doppeltatbestand: Vollbeendigung tritt mit Vermögenslosigkeit + Löschung ein).</w:t>
      </w:r>
    </w:p>
    <w:p>
      <w:pPr>
        <w:pStyle w:val="ListBullet"/>
      </w:pPr>
      <w:r>
        <w:rPr>
          <w:b/>
        </w:rPr>
        <w:t>§ 394 FamFG:</w:t>
      </w:r>
      <w:r>
        <w:t xml:space="preserve"> Amtsgerichtliche Löschung wegen Vermögenslosigkeit.</w:t>
      </w:r>
    </w:p>
    <w:p>
      <w:pPr>
        <w:pStyle w:val="ListBullet"/>
      </w:pPr>
      <w:r>
        <w:rPr>
          <w:b/>
        </w:rPr>
        <w:t>Subjektive Körperschaftsteuerpflicht:</w:t>
      </w:r>
      <w:r>
        <w:t xml:space="preserve"> endet </w:t>
      </w:r>
      <w:r>
        <w:rPr>
          <w:b/>
        </w:rPr>
        <w:t>nicht</w:t>
      </w:r>
      <w:r>
        <w:t xml:space="preserve"> mit Auflösung, mit Insolvenz oder mit der Löschung im Handelsregister allein, </w:t>
      </w:r>
      <w:r>
        <w:rPr>
          <w:b/>
        </w:rPr>
        <w:t>sondern</w:t>
      </w:r>
      <w:r>
        <w:t xml:space="preserve"> mit der </w:t>
      </w:r>
      <w:r>
        <w:rPr>
          <w:b/>
        </w:rPr>
        <w:t>tatsächlichen und rechtsgültigen Beendigung der Liquidation</w:t>
      </w:r>
      <w:r>
        <w:t xml:space="preserve"> — d. h. wenn:</w:t>
      </w:r>
    </w:p>
    <w:p>
      <w:pPr>
        <w:pStyle w:val="ListBullet"/>
      </w:pPr>
      <w:r>
        <w:t>kein verwertbares Vermögen mehr vorhanden ist,</w:t>
      </w:r>
    </w:p>
    <w:p>
      <w:pPr>
        <w:pStyle w:val="ListBullet"/>
      </w:pPr>
      <w:r>
        <w:t>keine steuerlichen Pflichten mehr zu erfüllen sind,</w:t>
      </w:r>
    </w:p>
    <w:p>
      <w:pPr>
        <w:pStyle w:val="ListBullet"/>
      </w:pPr>
      <w:r>
        <w:t>kein Verwaltungs- oder Gerichtsverfahren mehr offen ist.</w:t>
      </w:r>
    </w:p>
    <w:p>
      <w:pPr>
        <w:pStyle w:val="Heading2"/>
      </w:pPr>
      <w:r>
        <w:rPr>
          <w:rFonts w:ascii="Times New Roman" w:hAnsi="Times New Roman"/>
        </w:rPr>
        <w:t>2. Verfahren der Löschung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Sperrjahr § 73 Abs. 1 GmbHG</w:t>
            </w:r>
          </w:p>
        </w:tc>
        <w:tc>
          <w:tcPr>
            <w:tcW w:type="dxa" w:w="3024"/>
          </w:tcPr>
          <w:p>
            <w:r>
              <w:rPr>
                <w:rFonts w:ascii="Times New Roman" w:hAnsi="Times New Roman"/>
                <w:sz w:val="20"/>
              </w:rPr>
              <w:t>ab Bekanntmachung Auflösung 28.04.2026 — bis 28.04.2027</w:t>
            </w:r>
          </w:p>
        </w:tc>
        <w:tc>
          <w:tcPr>
            <w:tcW w:type="dxa" w:w="3024"/>
          </w:tcPr>
          <w:p>
            <w:r>
              <w:rPr>
                <w:rFonts w:ascii="Times New Roman" w:hAnsi="Times New Roman"/>
                <w:sz w:val="20"/>
              </w:rPr>
              <w:t>Liquidatorin</w:t>
            </w:r>
          </w:p>
        </w:tc>
      </w:tr>
      <w:tr>
        <w:tc>
          <w:tcPr>
            <w:tcW w:type="dxa" w:w="3024"/>
          </w:tcPr>
          <w:p>
            <w:r>
              <w:rPr>
                <w:rFonts w:ascii="Times New Roman" w:hAnsi="Times New Roman"/>
                <w:sz w:val="20"/>
              </w:rPr>
              <w:t>Aufstellung Liquidationsschlussbilanz</w:t>
            </w:r>
          </w:p>
        </w:tc>
        <w:tc>
          <w:tcPr>
            <w:tcW w:type="dxa" w:w="3024"/>
          </w:tcPr>
          <w:p>
            <w:r>
              <w:rPr>
                <w:rFonts w:ascii="Times New Roman" w:hAnsi="Times New Roman"/>
                <w:sz w:val="20"/>
              </w:rPr>
              <w:t>nach Sperrjahr-Ende</w:t>
            </w:r>
          </w:p>
        </w:tc>
        <w:tc>
          <w:tcPr>
            <w:tcW w:type="dxa" w:w="3024"/>
          </w:tcPr>
          <w:p>
            <w:r>
              <w:rPr>
                <w:rFonts w:ascii="Times New Roman" w:hAnsi="Times New Roman"/>
                <w:sz w:val="20"/>
              </w:rPr>
              <w:t>Steuerberater + Liquidatorin</w:t>
            </w:r>
          </w:p>
        </w:tc>
      </w:tr>
      <w:tr>
        <w:tc>
          <w:tcPr>
            <w:tcW w:type="dxa" w:w="3024"/>
          </w:tcPr>
          <w:p>
            <w:r>
              <w:rPr>
                <w:rFonts w:ascii="Times New Roman" w:hAnsi="Times New Roman"/>
                <w:sz w:val="20"/>
              </w:rPr>
              <w:t>Abschluss aller Steuerverfahren (KSt-Erklärung, GewSt-Erklärung, USt-Voranmeldungen)</w:t>
            </w:r>
          </w:p>
        </w:tc>
        <w:tc>
          <w:tcPr>
            <w:tcW w:type="dxa" w:w="3024"/>
          </w:tcPr>
          <w:p>
            <w:r>
              <w:rPr>
                <w:rFonts w:ascii="Times New Roman" w:hAnsi="Times New Roman"/>
                <w:sz w:val="20"/>
              </w:rPr>
              <w:t>vor Anmeldung Beendigung</w:t>
            </w:r>
          </w:p>
        </w:tc>
        <w:tc>
          <w:tcPr>
            <w:tcW w:type="dxa" w:w="3024"/>
          </w:tcPr>
          <w:p>
            <w:r>
              <w:rPr>
                <w:rFonts w:ascii="Times New Roman" w:hAnsi="Times New Roman"/>
                <w:sz w:val="20"/>
              </w:rPr>
              <w:t>Steuerberater</w:t>
            </w:r>
          </w:p>
        </w:tc>
      </w:tr>
      <w:tr>
        <w:tc>
          <w:tcPr>
            <w:tcW w:type="dxa" w:w="3024"/>
          </w:tcPr>
          <w:p>
            <w:r>
              <w:rPr>
                <w:rFonts w:ascii="Times New Roman" w:hAnsi="Times New Roman"/>
                <w:sz w:val="20"/>
              </w:rPr>
              <w:t>Anmeldung Beendigung beim Handelsregister</w:t>
            </w:r>
          </w:p>
        </w:tc>
        <w:tc>
          <w:tcPr>
            <w:tcW w:type="dxa" w:w="3024"/>
          </w:tcPr>
          <w:p>
            <w:r>
              <w:rPr>
                <w:rFonts w:ascii="Times New Roman" w:hAnsi="Times New Roman"/>
                <w:sz w:val="20"/>
              </w:rPr>
              <w:t>nach Steuerverfahren-Abschluss</w:t>
            </w:r>
          </w:p>
        </w:tc>
        <w:tc>
          <w:tcPr>
            <w:tcW w:type="dxa" w:w="3024"/>
          </w:tcPr>
          <w:p>
            <w:r>
              <w:rPr>
                <w:rFonts w:ascii="Times New Roman" w:hAnsi="Times New Roman"/>
                <w:sz w:val="20"/>
              </w:rPr>
              <w:t>Notar + Liquidatorin</w:t>
            </w:r>
          </w:p>
        </w:tc>
      </w:tr>
      <w:tr>
        <w:tc>
          <w:tcPr>
            <w:tcW w:type="dxa" w:w="3024"/>
          </w:tcPr>
          <w:p>
            <w:r>
              <w:rPr>
                <w:rFonts w:ascii="Times New Roman" w:hAnsi="Times New Roman"/>
                <w:sz w:val="20"/>
              </w:rPr>
              <w:t>Eintragung Löschung</w:t>
            </w:r>
          </w:p>
        </w:tc>
        <w:tc>
          <w:tcPr>
            <w:tcW w:type="dxa" w:w="3024"/>
          </w:tcPr>
          <w:p>
            <w:r>
              <w:rPr>
                <w:rFonts w:ascii="Times New Roman" w:hAnsi="Times New Roman"/>
                <w:sz w:val="20"/>
              </w:rPr>
              <w:t>je nach Registergericht</w:t>
            </w:r>
          </w:p>
        </w:tc>
        <w:tc>
          <w:tcPr>
            <w:tcW w:type="dxa" w:w="3024"/>
          </w:tcPr>
          <w:p>
            <w:r>
              <w:rPr>
                <w:rFonts w:ascii="Times New Roman" w:hAnsi="Times New Roman"/>
                <w:sz w:val="20"/>
              </w:rPr>
              <w:t>Handelsregister</w:t>
            </w:r>
          </w:p>
        </w:tc>
      </w:tr>
      <w:tr>
        <w:tc>
          <w:tcPr>
            <w:tcW w:type="dxa" w:w="3024"/>
          </w:tcPr>
          <w:p>
            <w:r>
              <w:rPr>
                <w:rFonts w:ascii="Times New Roman" w:hAnsi="Times New Roman"/>
                <w:sz w:val="20"/>
              </w:rPr>
              <w:t>Vollbeendigung der GmbH</w:t>
            </w:r>
          </w:p>
        </w:tc>
        <w:tc>
          <w:tcPr>
            <w:tcW w:type="dxa" w:w="3024"/>
          </w:tcPr>
          <w:p>
            <w:r>
              <w:rPr>
                <w:rFonts w:ascii="Times New Roman" w:hAnsi="Times New Roman"/>
                <w:sz w:val="20"/>
              </w:rPr>
              <w:t>mit Eintragung Löschung + Vermögenslosigkeit</w:t>
            </w:r>
          </w:p>
        </w:tc>
        <w:tc>
          <w:tcPr>
            <w:tcW w:type="dxa" w:w="3024"/>
          </w:tcPr>
          <w:p>
            <w:r>
              <w:rPr>
                <w:rFonts w:ascii="Times New Roman" w:hAnsi="Times New Roman"/>
                <w:sz w:val="20"/>
              </w:rPr>
              <w:t>—</w:t>
            </w:r>
          </w:p>
        </w:tc>
      </w:tr>
    </w:tbl>
    <w:p>
      <w:pPr>
        <w:pStyle w:val="Heading2"/>
      </w:pPr>
      <w:r>
        <w:rPr>
          <w:rFonts w:ascii="Times New Roman" w:hAnsi="Times New Roman"/>
        </w:rPr>
        <w:t>3. Wechselwirkungen Löschungsverfahren ↔ Steuerverfahren</w:t>
      </w:r>
    </w:p>
    <w:p>
      <w:pPr>
        <w:jc w:val="left"/>
      </w:pPr>
      <w:r>
        <w:t xml:space="preserve">Die Löschung kann durch das Registergericht </w:t>
      </w:r>
      <w:r>
        <w:rPr>
          <w:b/>
        </w:rPr>
        <w:t>versagt</w:t>
      </w:r>
      <w:r>
        <w:t xml:space="preserve"> werden, wenn:</w:t>
      </w:r>
    </w:p>
    <w:p>
      <w:pPr>
        <w:pStyle w:val="ListBullet"/>
      </w:pPr>
      <w:r>
        <w:rPr>
          <w:b/>
        </w:rPr>
        <w:t>OLG Hamm, Beschluss vom 21.05.2021 — 27 W 25/21, FGPrax 2021 Seite 166</w:t>
      </w:r>
      <w:r>
        <w:t xml:space="preserve"> = freie Quelle/dejure vor Ausgabe pruefen, Rn. 13 ff.: Anmeldung zurückzuweisen, wenn die Gesellschaft noch nicht vermögenslos oder steuerrechtlich noch nicht abgewickelt ist. Mitteilung der Finanzverwaltung, dass eine Steuererklärung noch aussteht, begründet </w:t>
      </w:r>
      <w:r>
        <w:rPr>
          <w:b/>
        </w:rPr>
        <w:t>berechtigte Zweifel</w:t>
      </w:r>
      <w:r>
        <w:t>.</w:t>
      </w:r>
    </w:p>
    <w:p>
      <w:pPr>
        <w:pStyle w:val="ListBullet"/>
      </w:pPr>
      <w:r>
        <w:rPr>
          <w:b/>
        </w:rPr>
        <w:t>OLG Jena, Beschluss vom 20.05.2015 — 6 W 506/14, ZIP 2016 Seite 25</w:t>
      </w:r>
      <w:r>
        <w:t xml:space="preserve">; </w:t>
      </w:r>
      <w:r>
        <w:rPr>
          <w:b/>
        </w:rPr>
        <w:t>OLG Jena vom 15.05.2019 — 2 W 159/19, NotBZ 2019 Seite 391</w:t>
      </w:r>
      <w:r>
        <w:t xml:space="preserve">; </w:t>
      </w:r>
      <w:r>
        <w:rPr>
          <w:b/>
        </w:rPr>
        <w:t>OLG Celle vom 17.10.2018 — 9 W 80/18, ZIP 2018 Seite 2222</w:t>
      </w:r>
      <w:r>
        <w:t xml:space="preserve">; </w:t>
      </w:r>
      <w:r>
        <w:rPr>
          <w:b/>
        </w:rPr>
        <w:t>KG vom 22.07.2019 — 22 W 29/18, NZG 2019 Seite 1294</w:t>
      </w:r>
      <w:r>
        <w:t xml:space="preserve">: Bei Aussicht auf </w:t>
      </w:r>
      <w:r>
        <w:rPr>
          <w:b/>
        </w:rPr>
        <w:t>Steuerrückerstattung</w:t>
      </w:r>
      <w:r>
        <w:t xml:space="preserve"> Löschungsantrag nicht vollzugsreif.</w:t>
      </w:r>
    </w:p>
    <w:p>
      <w:pPr>
        <w:pStyle w:val="ListBullet"/>
      </w:pPr>
      <w:r>
        <w:rPr>
          <w:b/>
        </w:rPr>
        <w:t>OLG Düsseldorf, Beschluss vom 25.08.2020 — 3 Wx 117/20, freie Quelle/dejure vor Ausgabe pruefen</w:t>
      </w:r>
      <w:r>
        <w:t xml:space="preserve">: Andererseits Vollzugsreife trotz offener Steuerverfahren möglich, </w:t>
      </w:r>
      <w:r>
        <w:rPr>
          <w:b/>
        </w:rPr>
        <w:t>wenn</w:t>
      </w:r>
      <w:r>
        <w:t xml:space="preserve"> Geschäftsbetrieb endgültig eingestellt, kein Vermögen mehr vorhanden, allenfalls </w:t>
      </w:r>
      <w:r>
        <w:rPr>
          <w:b/>
        </w:rPr>
        <w:t>Steuernachforderungen</w:t>
      </w:r>
      <w:r>
        <w:t xml:space="preserve"> in Rede stehen.</w:t>
      </w:r>
    </w:p>
    <w:p>
      <w:pPr>
        <w:pStyle w:val="ListBullet"/>
      </w:pPr>
      <w:r>
        <w:rPr>
          <w:b/>
        </w:rPr>
        <w:t>BGH, Beschluss vom 09.11.2021 — II ZB 1/21, DStR 2022 Seite 162</w:t>
      </w:r>
      <w:r>
        <w:t xml:space="preserve"> (Leitsatz): Die bloße Möglichkeit einer Änderung oder Aufhebung der Steuerfestsetzung bis zum Ablauf der Festsetzungsfrist begründet </w:t>
      </w:r>
      <w:r>
        <w:rPr>
          <w:b/>
        </w:rPr>
        <w:t>für sich genommen</w:t>
      </w:r>
      <w:r>
        <w:t xml:space="preserve"> keine Zweifel an der Vermögenslosigkeit.</w:t>
      </w:r>
    </w:p>
    <w:p>
      <w:pPr>
        <w:pStyle w:val="Heading2"/>
      </w:pPr>
      <w:r>
        <w:rPr>
          <w:rFonts w:ascii="Times New Roman" w:hAnsi="Times New Roman"/>
        </w:rPr>
        <w:t>4. Konkrete Schritte Strassburger Handelshof GmbH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t>
            </w:r>
          </w:p>
        </w:tc>
        <w:tc>
          <w:tcPr>
            <w:tcW w:type="dxa" w:w="3024"/>
          </w:tcPr>
          <w:p>
            <w:r>
              <w:rPr>
                <w:rFonts w:ascii="Times New Roman" w:hAnsi="Times New Roman"/>
                <w:b/>
                <w:sz w:val="20"/>
              </w:rPr>
              <w:t>Schritt</w:t>
            </w:r>
          </w:p>
        </w:tc>
        <w:tc>
          <w:tcPr>
            <w:tcW w:type="dxa" w:w="3024"/>
          </w:tcPr>
          <w:p>
            <w:r>
              <w:rPr>
                <w:rFonts w:ascii="Times New Roman" w:hAnsi="Times New Roman"/>
                <w:b/>
                <w:sz w:val="20"/>
              </w:rPr>
              <w:t>Frist</w:t>
            </w:r>
          </w:p>
        </w:tc>
      </w:tr>
      <w:tr>
        <w:tc>
          <w:tcPr>
            <w:tcW w:type="dxa" w:w="3024"/>
          </w:tcPr>
          <w:p>
            <w:r>
              <w:rPr>
                <w:rFonts w:ascii="Times New Roman" w:hAnsi="Times New Roman"/>
                <w:sz w:val="20"/>
              </w:rPr>
              <w:t>1</w:t>
            </w:r>
          </w:p>
        </w:tc>
        <w:tc>
          <w:tcPr>
            <w:tcW w:type="dxa" w:w="3024"/>
          </w:tcPr>
          <w:p>
            <w:r>
              <w:rPr>
                <w:rFonts w:ascii="Times New Roman" w:hAnsi="Times New Roman"/>
                <w:sz w:val="20"/>
              </w:rPr>
              <w:t>Verbindliche Auskunft FA Charlottenburg (Aktenstück 13) abwarten</w:t>
            </w:r>
          </w:p>
        </w:tc>
        <w:tc>
          <w:tcPr>
            <w:tcW w:type="dxa" w:w="3024"/>
          </w:tcPr>
          <w:p>
            <w:r>
              <w:rPr>
                <w:rFonts w:ascii="Times New Roman" w:hAnsi="Times New Roman"/>
                <w:sz w:val="20"/>
              </w:rPr>
              <w:t>bis Q3/2026</w:t>
            </w:r>
          </w:p>
        </w:tc>
      </w:tr>
      <w:tr>
        <w:tc>
          <w:tcPr>
            <w:tcW w:type="dxa" w:w="3024"/>
          </w:tcPr>
          <w:p>
            <w:r>
              <w:rPr>
                <w:rFonts w:ascii="Times New Roman" w:hAnsi="Times New Roman"/>
                <w:sz w:val="20"/>
              </w:rPr>
              <w:t>2</w:t>
            </w:r>
          </w:p>
        </w:tc>
        <w:tc>
          <w:tcPr>
            <w:tcW w:type="dxa" w:w="3024"/>
          </w:tcPr>
          <w:p>
            <w:r>
              <w:rPr>
                <w:rFonts w:ascii="Times New Roman" w:hAnsi="Times New Roman"/>
                <w:sz w:val="20"/>
              </w:rPr>
              <w:t>KSt-/GewSt-Erklärungen 2025 abgeben</w:t>
            </w:r>
          </w:p>
        </w:tc>
        <w:tc>
          <w:tcPr>
            <w:tcW w:type="dxa" w:w="3024"/>
          </w:tcPr>
          <w:p>
            <w:r>
              <w:rPr>
                <w:rFonts w:ascii="Times New Roman" w:hAnsi="Times New Roman"/>
                <w:sz w:val="20"/>
              </w:rPr>
              <w:t>bis 31.07.2026</w:t>
            </w:r>
          </w:p>
        </w:tc>
      </w:tr>
      <w:tr>
        <w:tc>
          <w:tcPr>
            <w:tcW w:type="dxa" w:w="3024"/>
          </w:tcPr>
          <w:p>
            <w:r>
              <w:rPr>
                <w:rFonts w:ascii="Times New Roman" w:hAnsi="Times New Roman"/>
                <w:sz w:val="20"/>
              </w:rPr>
              <w:t>3</w:t>
            </w:r>
          </w:p>
        </w:tc>
        <w:tc>
          <w:tcPr>
            <w:tcW w:type="dxa" w:w="3024"/>
          </w:tcPr>
          <w:p>
            <w:r>
              <w:rPr>
                <w:rFonts w:ascii="Times New Roman" w:hAnsi="Times New Roman"/>
                <w:sz w:val="20"/>
              </w:rPr>
              <w:t>Liquidations-Eröffnungsbilanz 15.04.2026 fertigstellen</w:t>
            </w:r>
          </w:p>
        </w:tc>
        <w:tc>
          <w:tcPr>
            <w:tcW w:type="dxa" w:w="3024"/>
          </w:tcPr>
          <w:p>
            <w:r>
              <w:rPr>
                <w:rFonts w:ascii="Times New Roman" w:hAnsi="Times New Roman"/>
                <w:sz w:val="20"/>
              </w:rPr>
              <w:t>bis 30.06.2026</w:t>
            </w:r>
          </w:p>
        </w:tc>
      </w:tr>
      <w:tr>
        <w:tc>
          <w:tcPr>
            <w:tcW w:type="dxa" w:w="3024"/>
          </w:tcPr>
          <w:p>
            <w:r>
              <w:rPr>
                <w:rFonts w:ascii="Times New Roman" w:hAnsi="Times New Roman"/>
                <w:sz w:val="20"/>
              </w:rPr>
              <w:t>4</w:t>
            </w:r>
          </w:p>
        </w:tc>
        <w:tc>
          <w:tcPr>
            <w:tcW w:type="dxa" w:w="3024"/>
          </w:tcPr>
          <w:p>
            <w:r>
              <w:rPr>
                <w:rFonts w:ascii="Times New Roman" w:hAnsi="Times New Roman"/>
                <w:sz w:val="20"/>
              </w:rPr>
              <w:t>Zwischenbilanzen jährlich (falls Liquidation &gt; 1 Jahr)</w:t>
            </w:r>
          </w:p>
        </w:tc>
        <w:tc>
          <w:tcPr>
            <w:tcW w:type="dxa" w:w="3024"/>
          </w:tcPr>
          <w:p>
            <w:r>
              <w:rPr>
                <w:rFonts w:ascii="Times New Roman" w:hAnsi="Times New Roman"/>
                <w:sz w:val="20"/>
              </w:rPr>
              <w:t>jährlich</w:t>
            </w:r>
          </w:p>
        </w:tc>
      </w:tr>
      <w:tr>
        <w:tc>
          <w:tcPr>
            <w:tcW w:type="dxa" w:w="3024"/>
          </w:tcPr>
          <w:p>
            <w:r>
              <w:rPr>
                <w:rFonts w:ascii="Times New Roman" w:hAnsi="Times New Roman"/>
                <w:sz w:val="20"/>
              </w:rPr>
              <w:t>5</w:t>
            </w:r>
          </w:p>
        </w:tc>
        <w:tc>
          <w:tcPr>
            <w:tcW w:type="dxa" w:w="3024"/>
          </w:tcPr>
          <w:p>
            <w:r>
              <w:rPr>
                <w:rFonts w:ascii="Times New Roman" w:hAnsi="Times New Roman"/>
                <w:sz w:val="20"/>
              </w:rPr>
              <w:t>Befriedigung Lieferanten und Steuerschulden</w:t>
            </w:r>
          </w:p>
        </w:tc>
        <w:tc>
          <w:tcPr>
            <w:tcW w:type="dxa" w:w="3024"/>
          </w:tcPr>
          <w:p>
            <w:r>
              <w:rPr>
                <w:rFonts w:ascii="Times New Roman" w:hAnsi="Times New Roman"/>
                <w:sz w:val="20"/>
              </w:rPr>
              <w:t>bis 31.05.2026</w:t>
            </w:r>
          </w:p>
        </w:tc>
      </w:tr>
      <w:tr>
        <w:tc>
          <w:tcPr>
            <w:tcW w:type="dxa" w:w="3024"/>
          </w:tcPr>
          <w:p>
            <w:r>
              <w:rPr>
                <w:rFonts w:ascii="Times New Roman" w:hAnsi="Times New Roman"/>
                <w:sz w:val="20"/>
              </w:rPr>
              <w:t>6</w:t>
            </w:r>
          </w:p>
        </w:tc>
        <w:tc>
          <w:tcPr>
            <w:tcW w:type="dxa" w:w="3024"/>
          </w:tcPr>
          <w:p>
            <w:r>
              <w:rPr>
                <w:rFonts w:ascii="Times New Roman" w:hAnsi="Times New Roman"/>
                <w:sz w:val="20"/>
              </w:rPr>
              <w:t>Sperrjahr abwarten</w:t>
            </w:r>
          </w:p>
        </w:tc>
        <w:tc>
          <w:tcPr>
            <w:tcW w:type="dxa" w:w="3024"/>
          </w:tcPr>
          <w:p>
            <w:r>
              <w:rPr>
                <w:rFonts w:ascii="Times New Roman" w:hAnsi="Times New Roman"/>
                <w:sz w:val="20"/>
              </w:rPr>
              <w:t>bis 28.04.2027</w:t>
            </w:r>
          </w:p>
        </w:tc>
      </w:tr>
      <w:tr>
        <w:tc>
          <w:tcPr>
            <w:tcW w:type="dxa" w:w="3024"/>
          </w:tcPr>
          <w:p>
            <w:r>
              <w:rPr>
                <w:rFonts w:ascii="Times New Roman" w:hAnsi="Times New Roman"/>
                <w:sz w:val="20"/>
              </w:rPr>
              <w:t>7</w:t>
            </w:r>
          </w:p>
        </w:tc>
        <w:tc>
          <w:tcPr>
            <w:tcW w:type="dxa" w:w="3024"/>
          </w:tcPr>
          <w:p>
            <w:r>
              <w:rPr>
                <w:rFonts w:ascii="Times New Roman" w:hAnsi="Times New Roman"/>
                <w:sz w:val="20"/>
              </w:rPr>
              <w:t>Liquidationsschlussbilanz erstellen — mit oder ohne Passivierung des Gesellschafterdarlehens nach Maßgabe der verbindlichen Auskunft</w:t>
            </w:r>
          </w:p>
        </w:tc>
        <w:tc>
          <w:tcPr>
            <w:tcW w:type="dxa" w:w="3024"/>
          </w:tcPr>
          <w:p>
            <w:r>
              <w:rPr>
                <w:rFonts w:ascii="Times New Roman" w:hAnsi="Times New Roman"/>
                <w:sz w:val="20"/>
              </w:rPr>
              <w:t>nach Sperrjahr-Ende</w:t>
            </w:r>
          </w:p>
        </w:tc>
      </w:tr>
      <w:tr>
        <w:tc>
          <w:tcPr>
            <w:tcW w:type="dxa" w:w="3024"/>
          </w:tcPr>
          <w:p>
            <w:r>
              <w:rPr>
                <w:rFonts w:ascii="Times New Roman" w:hAnsi="Times New Roman"/>
                <w:sz w:val="20"/>
              </w:rPr>
              <w:t>8</w:t>
            </w:r>
          </w:p>
        </w:tc>
        <w:tc>
          <w:tcPr>
            <w:tcW w:type="dxa" w:w="3024"/>
          </w:tcPr>
          <w:p>
            <w:r>
              <w:rPr>
                <w:rFonts w:ascii="Times New Roman" w:hAnsi="Times New Roman"/>
                <w:sz w:val="20"/>
              </w:rPr>
              <w:t>Abschluss aller offenen Steuerverfahren</w:t>
            </w:r>
          </w:p>
        </w:tc>
        <w:tc>
          <w:tcPr>
            <w:tcW w:type="dxa" w:w="3024"/>
          </w:tcPr>
          <w:p>
            <w:r>
              <w:rPr>
                <w:rFonts w:ascii="Times New Roman" w:hAnsi="Times New Roman"/>
                <w:sz w:val="20"/>
              </w:rPr>
              <w:t>vor Anmeldung Beendigung</w:t>
            </w:r>
          </w:p>
        </w:tc>
      </w:tr>
      <w:tr>
        <w:tc>
          <w:tcPr>
            <w:tcW w:type="dxa" w:w="3024"/>
          </w:tcPr>
          <w:p>
            <w:r>
              <w:rPr>
                <w:rFonts w:ascii="Times New Roman" w:hAnsi="Times New Roman"/>
                <w:sz w:val="20"/>
              </w:rPr>
              <w:t>9</w:t>
            </w:r>
          </w:p>
        </w:tc>
        <w:tc>
          <w:tcPr>
            <w:tcW w:type="dxa" w:w="3024"/>
          </w:tcPr>
          <w:p>
            <w:r>
              <w:rPr>
                <w:rFonts w:ascii="Times New Roman" w:hAnsi="Times New Roman"/>
                <w:sz w:val="20"/>
              </w:rPr>
              <w:t>Anmeldung Beendigung beim AG Charlottenburg (Handelsregister)</w:t>
            </w:r>
          </w:p>
        </w:tc>
        <w:tc>
          <w:tcPr>
            <w:tcW w:type="dxa" w:w="3024"/>
          </w:tcPr>
          <w:p>
            <w:r>
              <w:rPr>
                <w:rFonts w:ascii="Times New Roman" w:hAnsi="Times New Roman"/>
                <w:sz w:val="20"/>
              </w:rPr>
              <w:t>nach 8</w:t>
            </w:r>
          </w:p>
        </w:tc>
      </w:tr>
      <w:tr>
        <w:tc>
          <w:tcPr>
            <w:tcW w:type="dxa" w:w="3024"/>
          </w:tcPr>
          <w:p>
            <w:r>
              <w:rPr>
                <w:rFonts w:ascii="Times New Roman" w:hAnsi="Times New Roman"/>
                <w:sz w:val="20"/>
              </w:rPr>
              <w:t>10</w:t>
            </w:r>
          </w:p>
        </w:tc>
        <w:tc>
          <w:tcPr>
            <w:tcW w:type="dxa" w:w="3024"/>
          </w:tcPr>
          <w:p>
            <w:r>
              <w:rPr>
                <w:rFonts w:ascii="Times New Roman" w:hAnsi="Times New Roman"/>
                <w:sz w:val="20"/>
              </w:rPr>
              <w:t>Löschung im Handelsregister</w:t>
            </w:r>
          </w:p>
        </w:tc>
        <w:tc>
          <w:tcPr>
            <w:tcW w:type="dxa" w:w="3024"/>
          </w:tcPr>
          <w:p>
            <w:r>
              <w:rPr>
                <w:rFonts w:ascii="Times New Roman" w:hAnsi="Times New Roman"/>
                <w:sz w:val="20"/>
              </w:rPr>
              <w:t>Q3/Q4 2027</w:t>
            </w:r>
          </w:p>
        </w:tc>
      </w:tr>
      <w:tr>
        <w:tc>
          <w:tcPr>
            <w:tcW w:type="dxa" w:w="3024"/>
          </w:tcPr>
          <w:p>
            <w:r>
              <w:rPr>
                <w:rFonts w:ascii="Times New Roman" w:hAnsi="Times New Roman"/>
                <w:sz w:val="20"/>
              </w:rPr>
              <w:t>11</w:t>
            </w:r>
          </w:p>
        </w:tc>
        <w:tc>
          <w:tcPr>
            <w:tcW w:type="dxa" w:w="3024"/>
          </w:tcPr>
          <w:p>
            <w:r>
              <w:rPr>
                <w:rFonts w:ascii="Times New Roman" w:hAnsi="Times New Roman"/>
                <w:sz w:val="20"/>
              </w:rPr>
              <w:t>Mit Löschung erlischt die GmbH als juristische Person; verbleibende Verbindlichkeiten erlöschen zivilrechtlich (vgl. H.-F. Müller, MüKo GmbHG, 3. Aufl. 2018, § 74 Rz. 34)</w:t>
            </w:r>
          </w:p>
        </w:tc>
        <w:tc>
          <w:tcPr>
            <w:tcW w:type="dxa" w:w="3024"/>
          </w:tcPr>
          <w:p>
            <w:r>
              <w:rPr>
                <w:rFonts w:ascii="Times New Roman" w:hAnsi="Times New Roman"/>
                <w:sz w:val="20"/>
              </w:rPr>
              <w:t>parallel</w:t>
            </w:r>
          </w:p>
        </w:tc>
      </w:tr>
    </w:tbl>
    <w:p>
      <w:pPr>
        <w:pStyle w:val="Heading2"/>
      </w:pPr>
      <w:r>
        <w:rPr>
          <w:rFonts w:ascii="Times New Roman" w:hAnsi="Times New Roman"/>
        </w:rPr>
        <w:t>5. Der dogmatische Kern „mit Erlöschen erlischt die Steuerpflicht"</w:t>
      </w:r>
    </w:p>
    <w:p>
      <w:pPr>
        <w:jc w:val="left"/>
      </w:pPr>
      <w:r>
        <w:t>Aus der ständigen Rechtsprechung und dem Liquidationsbesteuerungsregime:</w:t>
      </w:r>
    </w:p>
    <w:p>
      <w:pPr>
        <w:ind w:left="567"/>
      </w:pPr>
      <w:r>
        <w:rPr>
          <w:b/>
          <w:i/>
        </w:rPr>
        <w:t>FG Köln, Urteil vom 06.03.2012 — 13 K 3006/11, GmbHR 2012, 977 (Os. 7):</w:t>
      </w:r>
    </w:p>
    <w:p>
      <w:pPr>
        <w:ind w:left="567"/>
      </w:pPr>
      <w:r>
        <w:rPr>
          <w:i/>
        </w:rPr>
        <w:t xml:space="preserve">„Ist ausgeschlossen, dass ein GmbH-Gesellschafter die mit einer Rangrücktrittserklärung verbundenen Darlehensforderungen gegenüber der GmbH erlassen wird, kann bei der Liquidation der GmbH der Verzicht nicht unterstellt und ein steuerpflichtiger Gewinn angenommen werden. Die Verbindlichkeit ist bis zum Abschluss der Liquidation, d.h. bis zur Löschung im Handelsregister als Verbindlichkeit auszuweisen. Mit dem Erlöschen der GmbH erlöschen neben den Verbindlichkeiten auch eventuelle Verlustvorträge. </w:t>
      </w:r>
      <w:r>
        <w:rPr>
          <w:b/>
          <w:i/>
        </w:rPr>
        <w:t>Der dadurch rechtstheoretisch entstehende Gewinn ist mangels Körperschaftsteuersubjekt nicht mehr steuerpflichtig.</w:t>
      </w:r>
      <w:r>
        <w:rPr>
          <w:i/>
        </w:rPr>
        <w:t>"</w:t>
      </w:r>
    </w:p>
    <w:p>
      <w:pPr>
        <w:jc w:val="left"/>
      </w:pPr>
      <w:r>
        <w:t xml:space="preserve">Für die Strassburger Handelshof GmbH bedeutet das: Selbst wenn die Verbindlichkeit (qualifizierter Rangrücktritt 2,4 Mio. EUR) bis zur Löschung passiviert bleibt, fällt der „rechtstheoretische Sanierungsgewinn" mit Löschung </w:t>
      </w:r>
      <w:r>
        <w:rPr>
          <w:b/>
        </w:rPr>
        <w:t>mangels Steuersubjekt aus</w:t>
      </w:r>
      <w:r>
        <w:t>.</w:t>
      </w:r>
    </w:p>
    <w:p>
      <w:pPr>
        <w:pStyle w:val="Heading2"/>
      </w:pPr>
      <w:r>
        <w:rPr>
          <w:rFonts w:ascii="Times New Roman" w:hAnsi="Times New Roman"/>
        </w:rPr>
        <w:t>6. Anwendung auf den Fall</w:t>
      </w:r>
    </w:p>
    <w:p>
      <w:pPr>
        <w:jc w:val="left"/>
      </w:pPr>
      <w:r>
        <w:t>Strategie:</w:t>
      </w:r>
    </w:p>
    <w:p>
      <w:pPr>
        <w:pStyle w:val="ListBullet"/>
      </w:pPr>
      <w:r>
        <w:rPr>
          <w:b/>
        </w:rPr>
        <w:t>Passivierung bis Löschung</w:t>
      </w:r>
      <w:r>
        <w:t xml:space="preserve"> (Szenario A, Aktenstück 8) tragen — mit den OFD-Frankfurt- und FG-Köln-Argumenten.</w:t>
      </w:r>
    </w:p>
    <w:p>
      <w:pPr>
        <w:pStyle w:val="ListBullet"/>
      </w:pPr>
      <w:r>
        <w:t xml:space="preserve">Vor Anmeldung Beendigung sicherstellen, dass </w:t>
      </w:r>
      <w:r>
        <w:rPr>
          <w:b/>
        </w:rPr>
        <w:t>keine Steuerrückerstattung</w:t>
      </w:r>
      <w:r>
        <w:t xml:space="preserve"> zu erwarten ist (sonst OLG-Jena/KG-Linie greift; Löschung wird versagt).</w:t>
      </w:r>
    </w:p>
    <w:p>
      <w:pPr>
        <w:pStyle w:val="ListBullet"/>
      </w:pPr>
      <w:r>
        <w:t>Steuerforderungen 160.000 EUR vorab vollständig begleichen (oder zumindest endgültig festgesetzt), damit das FA keinen Anlass hat, die Vollzugsreife zu blockieren.</w:t>
      </w:r>
    </w:p>
    <w:p>
      <w:pPr>
        <w:pStyle w:val="ListBullet"/>
      </w:pPr>
      <w:r>
        <w:t>Liquidatorenhaftung § 11 III KStG / § 69 AO ausschließen durch Beratungsdokumentation (Aktenstück 19, Aktenstück 24 Engelmeier-Vermerk).</w:t>
      </w:r>
    </w:p>
    <w:p>
      <w:pPr>
        <w:pStyle w:val="Heading2"/>
      </w:pPr>
      <w:r>
        <w:rPr>
          <w:rFonts w:ascii="Times New Roman" w:hAnsi="Times New Roman"/>
        </w:rPr>
        <w:t>7. Restrisiko</w:t>
      </w:r>
    </w:p>
    <w:p>
      <w:pPr>
        <w:pStyle w:val="ListBullet"/>
      </w:pPr>
      <w:r>
        <w:t xml:space="preserve">Sollte das FA während des Liquidationszeitraums </w:t>
      </w:r>
      <w:r>
        <w:rPr>
          <w:b/>
        </w:rPr>
        <w:t>doch</w:t>
      </w:r>
      <w:r>
        <w:t xml:space="preserve"> den Standpunkt vertreten, dass die Verbindlichkeit gewinnerhöhend auszubuchen ist (gegen FG Köln / OFD), würde der „rechtstheoretische Gewinn" bereits </w:t>
      </w:r>
      <w:r>
        <w:rPr>
          <w:b/>
        </w:rPr>
        <w:t>vor</w:t>
      </w:r>
      <w:r>
        <w:t xml:space="preserve"> Löschung anfallen, also ein </w:t>
      </w:r>
      <w:r>
        <w:rPr>
          <w:b/>
        </w:rPr>
        <w:t>echtes</w:t>
      </w:r>
      <w:r>
        <w:t xml:space="preserve"> Körperschaftsteuersubjekt treffen — und damit zur tatsächlichen Steuerlast führen.</w:t>
      </w:r>
    </w:p>
    <w:p>
      <w:pPr>
        <w:pStyle w:val="ListBullet"/>
      </w:pPr>
      <w:r>
        <w:t xml:space="preserve">Daher ist die </w:t>
      </w:r>
      <w:r>
        <w:rPr>
          <w:b/>
        </w:rPr>
        <w:t>verbindliche Auskunft</w:t>
      </w:r>
      <w:r>
        <w:t xml:space="preserve"> der entscheidende Schritt vor Aufstellung der Schlussbilanz.</w:t>
      </w:r>
    </w:p>
    <w:p>
      <w:pPr>
        <w:pStyle w:val="Heading2"/>
      </w:pPr>
      <w:r>
        <w:rPr>
          <w:rFonts w:ascii="Times New Roman" w:hAnsi="Times New Roman"/>
        </w:rPr>
        <w:t>8. Quellen</w:t>
      </w:r>
    </w:p>
    <w:p>
      <w:pPr>
        <w:pStyle w:val="ListBullet"/>
      </w:pPr>
      <w:r>
        <w:t>§ 74 GmbHG, § 394 FamFG.</w:t>
      </w:r>
    </w:p>
    <w:p>
      <w:pPr>
        <w:pStyle w:val="ListBullet"/>
      </w:pPr>
      <w:r>
        <w:t>§ 11 KStG (Liquidationsbesteuerung).</w:t>
      </w:r>
    </w:p>
    <w:p>
      <w:pPr>
        <w:pStyle w:val="ListBullet"/>
      </w:pPr>
      <w:r>
        <w:t>OLG Hamm 27 W 25/21; OLG Düsseldorf 3 Wx 117/20; BGH II ZB 1/21; OLG Jena 6 W 506/14; OLG Jena 2 W 159/19; OLG Celle 9 W 80/18; KG 22 W 29/18.</w:t>
      </w:r>
    </w:p>
    <w:p>
      <w:pPr>
        <w:pStyle w:val="ListBullet"/>
      </w:pPr>
      <w:r>
        <w:t>FG Köln 13 K 3006/11; BFH I R 34/12; OFD Frankfurt S 2743 A-12-St 523 (26.07.2021).</w:t>
      </w:r>
    </w:p>
    <w:p>
      <w:pPr>
        <w:pStyle w:val="ListBullet"/>
      </w:pPr>
      <w:r>
        <w:t>H.-F. Müller, MüKo GmbHG, 3. Aufl. 2018, § 74 Rz. 34; Haas in Noack/Servatius/Haas, GmbHG, 23. Aufl. 2022, § 71 Rz. 28.</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Notarin Dr. Birkenhainer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NOTARIN DR. BIRKENHAINER BERLIN</w:t>
    </w:r>
  </w:p>
  <w:p>
    <w:pPr>
      <w:jc w:val="left"/>
      <w:pBdr>
        <w:bottom w:val="single" w:sz="8" w:space="2" w:color="3B3F45"/>
      </w:pBdr>
    </w:pPr>
    <w:r>
      <w:rPr>
        <w:rFonts w:ascii="Times New Roman" w:hAnsi="Times New Roman"/>
        <w:color w:val="6B6B66"/>
        <w:sz w:val="16"/>
      </w:rPr>
      <w:t>Notariat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