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Final-Check und nächste Schritte — Strassburger Handelshof GmbH i. L.</w:t>
      </w:r>
    </w:p>
    <w:p>
      <w:pPr>
        <w:jc w:val="left"/>
      </w:pPr>
      <w:r>
        <w:rPr>
          <w:b/>
        </w:rPr>
        <w:t>Stand:</w:t>
      </w:r>
      <w:r>
        <w:t xml:space="preserve"> 02.05.2026 (Ende Sperrjahr-Beginn-Quartal).</w:t>
      </w:r>
    </w:p>
    <w:p>
      <w:pPr>
        <w:jc w:val="left"/>
      </w:pPr>
      <w:r>
        <w:rPr>
          <w:b/>
        </w:rPr>
        <w:t>Verantwortlich:</w:t>
      </w:r>
      <w:r>
        <w:t xml:space="preserve"> Helene Strassburger-Wittenburg (Liquidatorin) + Walter Engelmeier (Steuerberater).</w:t>
      </w:r>
    </w:p>
    <w:p/>
    <w:p>
      <w:pPr>
        <w:pStyle w:val="Heading2"/>
      </w:pPr>
      <w:r>
        <w:rPr>
          <w:rFonts w:ascii="Times New Roman" w:hAnsi="Times New Roman"/>
        </w:rPr>
        <w:t>1. Rückblick — was bisher passiert 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Vorgang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Gesellschafterbeschluss Auflösung § 60 Abs. 1 Nr. 2 GmbHG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erledigt, notariell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Bekanntmachung Auflösung im Handelsregister + Gläubigeraufruf § 65 Abs. 2 GmbHG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28.04.2026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Eintragung Auflösung im Handelsregister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22.04.2026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Mandantenbrief an Engelmeier (steuerliche Fragen)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versendet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29.04.2026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Persönliches Gespräch Strassburger / Engelmeier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erfolgt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30.04.2026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Entscheidung für verbindliche Auskunft § 89 AO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beschlossen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Beginn Sperrjahr nach § 73 Abs. 1 GmbHG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offen — frühestens Löschung 28.04.2027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Offene Aufgaben — Steuer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Verbindliche Auskunft § 89 AO beim FA Berlin-Charlottenburg einreichen (Passivierung Gesellschafterdarlehen + § 3a EStG-Anwendung)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Engelmeier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Liquidations-Eröffnungsbilanz zum 15.04.2026 (§ 71 Abs. 2 GmbHG) erstellen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Engelmeier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KSt-Erklärung und GewSt-Erklärung 2025 (Vor-Liquidation) abgeben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Engelmeier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31.07.2026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11 KStG Liquidationsbesteuerungs-Plan: Drei-Jahres-Zeitraum kalkulieren, Rumpf-Wj. nach R 11 Abs. 1 Satz 2 KStR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Engelmeier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30.06.2026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§ 3a Abs. 4 EStG vorbereiten (für den Fall, dass FA Ausbuchung verlangt)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Engelmeier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parallel zur verbindlichen Auskunft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§ 7b GewStG parallel beim Gewerbesteueramt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Engelmeier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parallel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17 EStG-Auflösungsverlust auf Privatebene Strassburger (nachträgliche Anschaffungskosten Rangrücktrittsdarlehen)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Engelmeier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 ESt-Erklärung 2026/2027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Offene Aufgaben — Liquidation gesellschaftsrechtlich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Aufgabe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Befriedigung Lieferanten (240.000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Strassburger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Befriedigung Steuerschulden (160.000 EUR)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Strassburger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31.05.2026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Restcash an Strassburger als Gesellschafterin? — frühestens nach Sperrjahr (§ 73 GmbHG) und vollständiger Befriedigung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Strassburger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28.04.2027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gesperrt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Liquidationsschlussbilanz aufstellen (Haas in Noack/Servatius/Haas § 71 Rz. 28)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Engelmeier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Sperrjahr-Ende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Anmeldung Beendigung Liquidation beim Handelsregister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Strassburger / Notar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Schlussbilanz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Löschung im Handelsregister § 74 Abs. 1 GmbHG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Handelsregister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 Anmeldung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4. Risikomatrix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Risiko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Wahrscheinlichkeit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Folge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Mitigation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 verlangt Ausbuchung Gesellschafterdarlehen in Schlussbilanz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KSt + GewSt ca. 720.000 EUR auf Gesellschaft (kein Verlustvortrag); Liquidatorenhaftung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verbindliche Auskunft § 89 AO; FG Köln 13 K 3006/11 + BFH I R 34/12 argumentieren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§ 3a EStG-Antrag scheitert mangels Sanierungseignung (solvente Liquidation)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mittel-hoch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 Steuerbefreiung Sanierungsertrag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Vermeidung: gar nicht erst auf Sanierungsertrag-Argument verlassen; Passivierung-Argument tragen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Löschung verzögert sich wegen offener Steuerverfahren (OLG Hamm 27 W 25/21)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Verlängerung Liquidationsdauer über § 11 KStG-3-Jahres-Frist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Steuerverfahren proaktiv abschließen; Schritt-für-Schritt-Kommunikation FA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 wertet Liquidationsbeschluss als konkludenten Verzicht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Sanierungsertrag würde sofort in Liquidationseröffnungsbilanz auflaufen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OFD Frankfurt 26.07.2021 Tz. 1.2 zitieren — Liquidationsbeschluss kein konkludenter Verzicht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Nachtragsliquidation nötig wegen vergessenem Vermögen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erneutes Verfahren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sorgfältige Inventur vor Löschung; Vier-Augen-Prinzip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5. Strategische Entscheidung</w:t>
      </w:r>
    </w:p>
    <w:p>
      <w:pPr>
        <w:jc w:val="left"/>
      </w:pPr>
      <w:r>
        <w:t>Die beratungsleitende Strategie ist:</w:t>
      </w:r>
    </w:p>
    <w:p>
      <w:pPr>
        <w:pStyle w:val="ListNumber"/>
      </w:pPr>
      <w:r>
        <w:rPr>
          <w:b/>
        </w:rPr>
        <w:t>Verbindliche Auskunft</w:t>
      </w:r>
      <w:r>
        <w:t xml:space="preserve"> beim FA Charlottenburg vor Liquidationsschlussbilanz einholen — Gebühr nach § 89 Abs. 3-5 AO trägt Mandantin.</w:t>
      </w:r>
    </w:p>
    <w:p>
      <w:pPr>
        <w:pStyle w:val="ListNumber"/>
      </w:pPr>
      <w:r>
        <w:rPr>
          <w:b/>
        </w:rPr>
        <w:t>Argumentation primär</w:t>
      </w:r>
      <w:r>
        <w:t xml:space="preserve"> mit FG Köln 13 K 3006/11 (Os. 7), BFH I R 34/12 und OFD Frankfurt 26.07.2021: Passivierung der nachrangigen Verbindlichkeit ist im Grundsatz bis zur Löschung im Handelsregister aufrechtzuerhalten.</w:t>
      </w:r>
    </w:p>
    <w:p>
      <w:pPr>
        <w:pStyle w:val="ListNumber"/>
      </w:pPr>
      <w:r>
        <w:rPr>
          <w:b/>
        </w:rPr>
        <w:t>Argumentation hilfsweise</w:t>
      </w:r>
      <w:r>
        <w:t xml:space="preserve"> mit § 3a EStG — aber bewusst nicht in den Vordergrund stellen, weil die Sanierungseignung in der solventen Liquidation umstritten ist.</w:t>
      </w:r>
    </w:p>
    <w:p>
      <w:pPr>
        <w:pStyle w:val="ListNumber"/>
      </w:pPr>
      <w:r>
        <w:rPr>
          <w:b/>
        </w:rPr>
        <w:t>Liquidationsdauer</w:t>
      </w:r>
      <w:r>
        <w:t xml:space="preserve"> so planen, dass die Löschung innerhalb des § 11 KStG-Drei-Jahres-Zeitraums erfolgt — d. h. spätestens 14.04.2029. Realistisch sollten wir aber 28.04.2027 anstreben (Sperrjahr-Ende + 1 Monat).</w:t>
      </w:r>
    </w:p>
    <w:p>
      <w:pPr>
        <w:pStyle w:val="ListNumber"/>
      </w:pPr>
      <w:r>
        <w:rPr>
          <w:b/>
        </w:rPr>
        <w:t>Bilanz-Ausweis konsistent halten</w:t>
      </w:r>
      <w:r>
        <w:t>: Eröffnungsbilanz, ggf. Zwischenbilanzen, Schlussbilanz — alle mit Passivierung des Gesellschafterdarlehens.</w:t>
      </w:r>
    </w:p>
    <w:p>
      <w:pPr>
        <w:pStyle w:val="Heading2"/>
      </w:pPr>
      <w:r>
        <w:rPr>
          <w:rFonts w:ascii="Times New Roman" w:hAnsi="Times New Roman"/>
        </w:rPr>
        <w:t>6. Mandantengespräch — nächster Termin</w:t>
      </w:r>
    </w:p>
    <w:p>
      <w:pPr>
        <w:pStyle w:val="ListBullet"/>
      </w:pPr>
      <w:r>
        <w:rPr>
          <w:b/>
        </w:rPr>
        <w:t>15.05.2026, 14:00 Uhr</w:t>
      </w:r>
      <w:r>
        <w:t xml:space="preserve"> Büro Engelmeier Köln: Besprechung des verbindlichen-Auskunfts-Entwurfs und Strategie-Abstimmung.</w:t>
      </w:r>
    </w:p>
    <w:p>
      <w:pPr>
        <w:pStyle w:val="ListBullet"/>
      </w:pPr>
      <w:r>
        <w:rPr>
          <w:b/>
        </w:rPr>
        <w:t>30.06.2026</w:t>
      </w:r>
      <w:r>
        <w:t xml:space="preserve"> Frist für Eröffnungsbilanz.</w:t>
      </w:r>
    </w:p>
    <w:p>
      <w:pPr>
        <w:pStyle w:val="ListBullet"/>
      </w:pPr>
      <w:r>
        <w:rPr>
          <w:b/>
        </w:rPr>
        <w:t>bis 31.07.2026</w:t>
      </w:r>
      <w:r>
        <w:t xml:space="preserve"> Steuererklärungen 2025.</w:t>
      </w:r>
    </w:p>
    <w:p>
      <w:pPr>
        <w:pStyle w:val="Heading2"/>
      </w:pPr>
      <w:r>
        <w:rPr>
          <w:rFonts w:ascii="Times New Roman" w:hAnsi="Times New Roman"/>
        </w:rPr>
        <w:t>7. Quellen-Hinweis für Verteidigungsakt (intern)</w:t>
      </w:r>
    </w:p>
    <w:p>
      <w:pPr>
        <w:jc w:val="left"/>
      </w:pPr>
      <w:r>
        <w:t>Sollte das FA gegen die Liquidatorin nach § 11 III KStG (Haftung Liquidator) oder § 69 AO (Haftung gesetzlicher Vertreter) vorgehen, sind folgende Belege parat zu halten:</w:t>
      </w:r>
    </w:p>
    <w:p>
      <w:pPr>
        <w:pStyle w:val="ListBullet"/>
      </w:pPr>
      <w:r>
        <w:t>Beratungsdokumentation Engelmeier vom 24.04.2026 (interner Vermerk Aktenstück 19).</w:t>
      </w:r>
    </w:p>
    <w:p>
      <w:pPr>
        <w:pStyle w:val="ListBullet"/>
      </w:pPr>
      <w:r>
        <w:t>Verbindliche Auskunft mit FA-Antwort (sobald vorhanden).</w:t>
      </w:r>
    </w:p>
    <w:p>
      <w:pPr>
        <w:pStyle w:val="ListBullet"/>
      </w:pPr>
      <w:r>
        <w:t>FG Köln 13 K 3006/11, BFH I R 34/12, OFD Frankfurt S 2743 A-12-St 523 (26.07.2021).</w:t>
      </w:r>
    </w:p>
    <w:p>
      <w:pPr>
        <w:pStyle w:val="ListBullet"/>
      </w:pPr>
      <w:r>
        <w:t>BFH XI R 32/18 (BStBl. II 2021, 279) zu § 5 Abs. 2a EStG-Anwendungsbereich.</w:t>
      </w:r>
    </w:p>
    <w:p>
      <w:pPr>
        <w:pStyle w:val="ListBullet"/>
      </w:pPr>
      <w:r>
        <w:t>Literatur: Bergmann (Diss. 2012), Dietrich/Weber DStR 2019, 966, Hageböke in Rödder/Herlinghaus/Neumann KStG § 11 Rn. 78, Mayer/Betzinger DStR 2014, 1573, Micker in HHR § 11 KStG Rn. 44, Stalbold in Gosch KStG § 11 Rn. 72.</w:t>
      </w:r>
    </w:p>
    <w:p/>
    <w:p>
      <w:pPr>
        <w:jc w:val="left"/>
      </w:pPr>
      <w:r>
        <w:rPr>
          <w:b/>
        </w:rPr>
        <w:t>Final-Check abgeschlossen 02.05.2026.</w:t>
      </w:r>
      <w:r>
        <w:t xml:space="preserve"> Strassburger zustimmend. Engelmeier zustimmend. Nächste Aktualisierung Final-Check nach FA-Antwort auf verbindliche Auskunft.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Strassburger Handelshof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Strassburger Handelshof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