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Mandatsnotiz: Mandatsübernahme Pellbach Werkzeugbau GmbH &amp; Co. KG</w:t>
      </w:r>
    </w:p>
    <w:p>
      <w:pPr>
        <w:jc w:val="left"/>
      </w:pPr>
      <w:r>
        <w:rPr>
          <w:b/>
        </w:rPr>
        <w:t>Kanzlei:</w:t>
      </w:r>
      <w:r>
        <w:t xml:space="preserve"> Schwingenstein und Partner Rechtsanwälte mbB, München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</w:t>
      </w:r>
    </w:p>
    <w:p>
      <w:pPr>
        <w:jc w:val="left"/>
      </w:pPr>
      <w:r>
        <w:rPr>
          <w:b/>
        </w:rPr>
        <w:t>Aktenzeichen intern:</w:t>
      </w:r>
      <w:r>
        <w:t xml:space="preserve"> SuP/2026-0041-CES</w:t>
      </w:r>
    </w:p>
    <w:p>
      <w:pPr>
        <w:jc w:val="left"/>
      </w:pPr>
      <w:r>
        <w:rPr>
          <w:b/>
        </w:rPr>
        <w:t>Datum:</w:t>
      </w:r>
      <w:r>
        <w:t xml:space="preserve"> 08. Januar 2026</w:t>
      </w:r>
    </w:p>
    <w:p>
      <w:pPr>
        <w:jc w:val="left"/>
      </w:pPr>
      <w:r>
        <w:rPr>
          <w:b/>
        </w:rPr>
        <w:t>Vertraulichkeitsstufe:</w:t>
      </w:r>
      <w:r>
        <w:t xml:space="preserve"> Streng vertraulich / Attorney-Client Privilege</w:t>
      </w:r>
    </w:p>
    <w:p/>
    <w:p>
      <w:pPr>
        <w:pStyle w:val="Heading2"/>
      </w:pPr>
      <w:r>
        <w:rPr>
          <w:rFonts w:ascii="Times New Roman" w:hAnsi="Times New Roman"/>
        </w:rPr>
        <w:t>1. Sachverhalt und Mandatsanlass</w:t>
      </w:r>
    </w:p>
    <w:p>
      <w:pPr>
        <w:jc w:val="left"/>
      </w:pPr>
      <w:r>
        <w:t xml:space="preserve">Am 07. Januar 2026 hat Herr Reinhard Pellbach-Wittfeldt, wohnhaft Salzwegstraße 12, 94034 Passau-Hals, telefonisch Kontakt aufgenommen und um einen Besprechungstermin für den Folgetag gebeten. Veranlassung: geplante Übertragung seiner sämtlichen Gesellschaftsanteile an der </w:t>
      </w:r>
      <w:r>
        <w:rPr>
          <w:b/>
        </w:rPr>
        <w:t>Pellbach Werkzeugbau GmbH &amp; Co. KG</w:t>
      </w:r>
      <w:r>
        <w:t xml:space="preserve">, Industriestraße 44, 94036 Passau, im Wege eines </w:t>
      </w:r>
      <w:r>
        <w:rPr>
          <w:b/>
        </w:rPr>
        <w:t>Share Deal</w:t>
      </w:r>
      <w:r>
        <w:t xml:space="preserve"> an ein Akquisitionsvehikel unter Beteiligung seines Sohnes Lucas Pellbach (45) und des Finanzinvestors </w:t>
      </w:r>
      <w:r>
        <w:rPr>
          <w:b/>
        </w:rPr>
        <w:t>Steinheim Capital Partners GmbH &amp; Co. KG</w:t>
      </w:r>
      <w:r>
        <w:t>, München.</w:t>
      </w:r>
    </w:p>
    <w:p>
      <w:pPr>
        <w:jc w:val="left"/>
      </w:pPr>
      <w:r>
        <w:t>Erstgespräch am 08. Januar 2026, 10:00 Uhr, Kanzleiräume München, Maximilianstraße 18. Dauer: 3 h 20 min. Anwesend: Reinhard Pellbach-Wittfeldt, Lucas Pellbach (per Video), Dr. Schwingenstein-Eichmüller, Ass. jur. Benedikt Hartmannsgruber (Protokoll).</w:t>
      </w:r>
    </w:p>
    <w:p/>
    <w:p>
      <w:pPr>
        <w:pStyle w:val="Heading2"/>
      </w:pPr>
      <w:r>
        <w:rPr>
          <w:rFonts w:ascii="Times New Roman" w:hAnsi="Times New Roman"/>
        </w:rPr>
        <w:t>2. 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 / Gesellschaft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Kontakt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Reinhard Pellbach-Wittfeldt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Mandant; alleiniger Kommanditist Pellbach KG; Alleingesellschafter Pellbach Verwaltungs-GmbH (68 %)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reinhard@pellbach-werkzeugbau.de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Pellbach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Sohn; CFO Pellbach Werkzeugbau; Käufer (40 % NewCo)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l.pellbach@pellbach-werkzeugbau.de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Annegret Pellbach-Roosendaal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Tochter; hält 32 % Pellbach Verwaltungs-GmbH; will GB Präzisionsdrehteile herauslösen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annegret.roosendaal@prdt-passau.de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Steinheim Capital Partners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PE-Investor; 60 % NewCo Käufer; vertreten durch Dr. Marcus Steinweg (Managing Partner)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m.steinweg@steinheim-cp.de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Pellbach Werkzeugbau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Zielgesellschaft (Target); HRB 8841 Passau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Pellbach Verwaltungs-GmbH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Komplementär-GmbH; HRB 9104 Passau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Tokio Heavy Industries Co., Ltd.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Konkurrenzbieter (Stratege, Japan)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c/o Pottwitz Stinkmorchel München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Friedrich Birkenhainer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Passau; UR-Nr. 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birkenhainer-notar@passau.de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Dr. Helmut Haslinger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Steuerberater Pellbach; KPMG München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h.haslinger@kpmg.de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BKartA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Bundeskartellamt; Az. B 6-188/26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Interessenkonfliktprüfung (§ 43a Abs. 4 BRAO)</w:t>
      </w:r>
    </w:p>
    <w:p>
      <w:pPr>
        <w:jc w:val="left"/>
      </w:pPr>
      <w:r>
        <w:rPr>
          <w:b/>
        </w:rPr>
        <w:t>Ergebnis: Kein Interessenkonflikt feststellbar.</w:t>
      </w:r>
    </w:p>
    <w:p>
      <w:pPr>
        <w:jc w:val="left"/>
      </w:pPr>
      <w:r>
        <w:t>Recherche im Kanzlei-Konfliktsystem: Weder Steinheim Capital Partners noch Tokio Heavy Industries noch eine der Pellbach-Gesellschaften ist in anderen aktiven Mandaten der Kanzlei als Partei erfasst. Eine frühere Beratung der Pellbach Werkzeugbau GmbH &amp; Co. KG durch unsere Kanzlei im Jahr 2019 (Grundstückskauf Industriestraße 46) betraf eine andere Angelegenheit und begründet keinen Konflikt zum vorliegenden Transaktion.</w:t>
      </w:r>
    </w:p>
    <w:p>
      <w:pPr>
        <w:jc w:val="left"/>
      </w:pPr>
      <w:r>
        <w:rPr>
          <w:b/>
        </w:rPr>
        <w:t>Hinweis auf Mehrfachinteressen:</w:t>
      </w:r>
      <w:r>
        <w:t xml:space="preserve"> Formell vertreten wir Herrn Reinhard Pellbach-Wittfeldt als Verkäufer. Lucas Pellbach als Käufer wird durch eigene Berater (Wammeshübel Zwirnknäuel &amp; Sozien, Frankfurt) vertreten. Insoweit kein gemeinsames Mandat auf Käuferseite.</w:t>
      </w:r>
    </w:p>
    <w:p/>
    <w:p>
      <w:pPr>
        <w:pStyle w:val="Heading2"/>
      </w:pPr>
      <w:r>
        <w:rPr>
          <w:rFonts w:ascii="Times New Roman" w:hAnsi="Times New Roman"/>
        </w:rPr>
        <w:t>4. Vollmacht</w:t>
      </w:r>
    </w:p>
    <w:p>
      <w:pPr>
        <w:jc w:val="left"/>
      </w:pPr>
      <w:r>
        <w:t>Herrn Reinhard Pellbach-Wittfeldt wurde ein Vollmachtsformular ausgehändigt. Unterschriebene Vollmacht eingetroffen am 09.01.2026 per Kurierdienst; notariell beglaubigte Kopie angefordert für Beurkundung.</w:t>
      </w:r>
    </w:p>
    <w:p/>
    <w:p>
      <w:pPr>
        <w:pStyle w:val="Heading2"/>
      </w:pPr>
      <w:r>
        <w:rPr>
          <w:rFonts w:ascii="Times New Roman" w:hAnsi="Times New Roman"/>
        </w:rPr>
        <w:t>5. Mandatsumfang</w:t>
      </w:r>
    </w:p>
    <w:p>
      <w:pPr>
        <w:pStyle w:val="ListNumber"/>
      </w:pPr>
      <w:r>
        <w:t>Vertragsgestaltung und -verhandlung Share Purchase Agreement (SPA) sowie aller Transaction Documents</w:t>
      </w:r>
    </w:p>
    <w:p>
      <w:pPr>
        <w:pStyle w:val="ListNumber"/>
      </w:pPr>
      <w:r>
        <w:t>Beratung zu gesellschaftsrechtlichen Voraussetzungen Anteilsübertragung KG und GmbH (HGB §§ 105 ff; GmbHG §§ 15, 17)</w:t>
      </w:r>
    </w:p>
    <w:p>
      <w:pPr>
        <w:pStyle w:val="ListNumber"/>
      </w:pPr>
      <w:r>
        <w:t>Interessenvertretung in der BKartA-Anmeldung (GWB §§ 35 ff) — gemeinsam mit Kartellrechtsteam Stenzl (Büro Berlin)</w:t>
      </w:r>
    </w:p>
    <w:p>
      <w:pPr>
        <w:pStyle w:val="ListNumber"/>
      </w:pPr>
      <w:r>
        <w:t>Begleitung Notartermin Dr. Birkenhainer</w:t>
      </w:r>
    </w:p>
    <w:p>
      <w:pPr>
        <w:pStyle w:val="ListNumber"/>
      </w:pPr>
      <w:r>
        <w:t>Koordination W&amp;I-Versicherung (mit Makler Aon München)</w:t>
      </w:r>
    </w:p>
    <w:p>
      <w:pPr>
        <w:pStyle w:val="ListNumber"/>
      </w:pPr>
      <w:r>
        <w:t>Beratung zu § 613a BGB / Betriebsratsverhandlungen (mit Arbeitsrechtskollegin RAin Katharina Finsterer)</w:t>
      </w:r>
    </w:p>
    <w:p/>
    <w:p>
      <w:pPr>
        <w:pStyle w:val="Heading2"/>
      </w:pPr>
      <w:r>
        <w:rPr>
          <w:rFonts w:ascii="Times New Roman" w:hAnsi="Times New Roman"/>
        </w:rPr>
        <w:t>6. Honorar und Abrechnung</w:t>
      </w:r>
    </w:p>
    <w:p>
      <w:pPr>
        <w:jc w:val="left"/>
      </w:pPr>
      <w:r>
        <w:t>Stundenhonorar: RAin Dr. Schwingenstein-Eichmüller 480 EUR/h; Ass. Hartmannsgruber 220 EUR/h. Transaktionsbonus bei erfolgreichem Closing vereinbart (0,25 % des Equity Value, Mindest-Closing-Honorar 120 TEUR). Mandatsvorschuss 50 TEUR am 15.01.2026 erhalten.</w:t>
      </w:r>
    </w:p>
    <w:p/>
    <w:p>
      <w:pPr>
        <w:pStyle w:val="Heading2"/>
      </w:pPr>
      <w:r>
        <w:rPr>
          <w:rFonts w:ascii="Times New Roman" w:hAnsi="Times New Roman"/>
        </w:rPr>
        <w:t>7. Sofortmaßnahmen</w:t>
      </w:r>
    </w:p>
    <w:p>
      <w:pPr>
        <w:pStyle w:val="ListBullet"/>
      </w:pPr>
      <w:r>
        <w:t>[ ] Vertraulichkeitsvereinbarung (NDA) mit Steinheim Capital Partners und Tokio Heavy Industries zeichnen</w:t>
      </w:r>
    </w:p>
    <w:p>
      <w:pPr>
        <w:pStyle w:val="ListBullet"/>
      </w:pPr>
      <w:r>
        <w:t>[ ] Virtual Data Room (VDR) bei Datasite einrichten; Zugangsbeschränkungen nach NDA-Status</w:t>
      </w:r>
    </w:p>
    <w:p>
      <w:pPr>
        <w:pStyle w:val="ListBullet"/>
      </w:pPr>
      <w:r>
        <w:t>[ ] Erste Kontaktaufnahme mit BKartA (informelles Vorgespräch)</w:t>
      </w:r>
    </w:p>
    <w:p>
      <w:pPr>
        <w:pStyle w:val="ListBullet"/>
      </w:pPr>
      <w:r>
        <w:t>[ ] Anwaltlichen Gegenüber bei Steinheim identifizieren (Wammeshübel Zwirnknäuel &amp; Sozien Frankfurt bestätigt)</w:t>
      </w:r>
    </w:p>
    <w:p>
      <w:pPr>
        <w:pStyle w:val="ListBullet"/>
      </w:pPr>
      <w:r>
        <w:t>[ ] Annegret Pellbach-Roosendaal: Gespräch über Herauslösung GB Präzisionsdrehteile koordinieren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 | 08.01.2026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Mandatsübernahme Pellbach Werkzeugbau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Mandatsübernahme Pellbach Werkzeugbau GmbH &amp; Co. KG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Aktenzeichen intern: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