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Environmental Due Diligence: Altlastenprüfung Werksgelände Passau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Gutachter:</w:t>
      </w:r>
      <w:r>
        <w:t xml:space="preserve"> Environ Consult GmbH, Regensburg (Dr. Andreas Wimberger, öbuv SV BBodSchG)</w:t>
      </w:r>
    </w:p>
    <w:p>
      <w:pPr>
        <w:jc w:val="left"/>
      </w:pPr>
      <w:r>
        <w:rPr>
          <w:b/>
        </w:rPr>
        <w:t>Berichtsdatum:</w:t>
      </w:r>
      <w:r>
        <w:t xml:space="preserve"> 10. März 2026</w:t>
      </w:r>
    </w:p>
    <w:p/>
    <w:p>
      <w:pPr>
        <w:pStyle w:val="Heading2"/>
      </w:pPr>
      <w:r>
        <w:rPr>
          <w:rFonts w:ascii="Times New Roman" w:hAnsi="Times New Roman"/>
        </w:rPr>
        <w:t>1. Gegenstand und Methodik</w:t>
      </w:r>
    </w:p>
    <w:p>
      <w:pPr>
        <w:jc w:val="left"/>
      </w:pPr>
      <w:r>
        <w:t>Das Werksgelände Passau I (Industriestraße 44, Flurnummer 1888/3, Gemarkung Passau, Fläche ca. 18.200 qm) und Passau II (angrenzend, Flurnummer 1888/4, ca. 9.400 qm) wurden einer Phase-I-Umweltprüfung (historische Erkundung) und einer selektiven Phase-II-Beprobung (Bodenproben, Grundwassermessstellen) unterzogen.</w:t>
      </w:r>
    </w:p>
    <w:p>
      <w:pPr>
        <w:jc w:val="left"/>
      </w:pPr>
      <w:r>
        <w:t>Rechtsgrundlage: Bundes-Bodenschutzgesetz (BBodSchG) §§ 4 ff; Bundes-Bodenschutz- und Altlastenverordnung (BBodSchV); Bayerisches Bodenschutzgesetz (BayBodSchG).</w:t>
      </w:r>
    </w:p>
    <w:p/>
    <w:p>
      <w:pPr>
        <w:pStyle w:val="Heading2"/>
      </w:pPr>
      <w:r>
        <w:rPr>
          <w:rFonts w:ascii="Times New Roman" w:hAnsi="Times New Roman"/>
        </w:rPr>
        <w:t>2. Historische Nutzung (Phase I)</w:t>
      </w:r>
    </w:p>
    <w:p>
      <w:pPr>
        <w:jc w:val="left"/>
      </w:pPr>
      <w:r>
        <w:t>Auf dem Gelände Passau I wurden laut Historischer Recherche (Luftbilder 1956-1990, Baugenehmigungsunterlagen Stadtarchiv Passau, Betriebstagebücher) folgende relevante Nutzungen festgestellt: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Nutzung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Schadstoffpotenzial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1951-1963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Metallbearbeitung mit Kühlschmierstoffen (PCE/TCE-Lösungsmittel)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1963-1989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Lösungsmittellager Nordostecke Gebäude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1989-2024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Moderne Produktionsanlagen; keine chlorierten Lösungsmittel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Phase-II-Befunde (Beprobung Februar 2026)</w:t>
      </w:r>
    </w:p>
    <w:p>
      <w:pPr>
        <w:pStyle w:val="Heading3"/>
      </w:pPr>
      <w:r>
        <w:rPr>
          <w:rFonts w:ascii="Times New Roman" w:hAnsi="Times New Roman"/>
        </w:rPr>
        <w:t>Bodenproben</w:t>
      </w:r>
    </w:p>
    <w:p>
      <w:pPr>
        <w:jc w:val="left"/>
      </w:pPr>
      <w:r>
        <w:t>Messraster 10x10 m; 28 Bodenproben, Tiefen 0,5 m / 1,5 m / 3,0 m. Befund: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Messstelle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Tiefe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PCE (mg/kg)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Beurteilungswert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B-07 (Nordost)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1,5 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mg/kg (BBodSchV Anh. 2)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Überschreitung x18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B-08 (Nordost)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3,0 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31,7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mg/kg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Überschreitung x32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B-12 (Mitte)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1,5 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mg/kg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Unauffällig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Sonstige (n=25)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&lt;0,2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mg/kg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Unauffällig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Grundwasser</w:t>
      </w:r>
    </w:p>
    <w:p>
      <w:pPr>
        <w:jc w:val="left"/>
      </w:pPr>
      <w:r>
        <w:t>Grundwassermessstellen GW-1 (Anstrom) und GW-2/GW-3 (Abstrom):</w:t>
      </w:r>
    </w:p>
    <w:p>
      <w:pPr>
        <w:pStyle w:val="ListBullet"/>
      </w:pPr>
      <w:r>
        <w:t>GW-2 (Abstrom Nordost): PCE: 58 µg/l (Prüfwert GW BBodSchV: 10 µg/l) — Überschreitung x5,8</w:t>
      </w:r>
    </w:p>
    <w:p>
      <w:pPr>
        <w:pStyle w:val="ListBullet"/>
      </w:pPr>
      <w:r>
        <w:t>Grundwasserflussrichtung: Richtung Inn; Entfernung bis Inn ca. 420 m</w:t>
      </w:r>
    </w:p>
    <w:p/>
    <w:p>
      <w:pPr>
        <w:pStyle w:val="Heading2"/>
      </w:pPr>
      <w:r>
        <w:rPr>
          <w:rFonts w:ascii="Times New Roman" w:hAnsi="Times New Roman"/>
        </w:rPr>
        <w:t>4. Risikobeurteilung und Haftung</w:t>
      </w:r>
    </w:p>
    <w:p>
      <w:pPr>
        <w:pStyle w:val="Heading3"/>
      </w:pPr>
      <w:r>
        <w:rPr>
          <w:rFonts w:ascii="Times New Roman" w:hAnsi="Times New Roman"/>
        </w:rPr>
        <w:t>Handlungspflicht</w:t>
      </w:r>
    </w:p>
    <w:p>
      <w:pPr>
        <w:jc w:val="left"/>
      </w:pPr>
      <w:r>
        <w:t>Gemäß § 4 Abs. 3 BBodSchG sind Verursacher, Grundstückseigentümer und Zustandsstörer sanierungspflichtig. Die Pellbach Werkzeugbau KG ist als Betreiberin seit 1951 potenzielle Sanierungspflichtige. Historische Verursachung durch Vorgänger-Betrieb ist anrechenbar.</w:t>
      </w:r>
    </w:p>
    <w:p>
      <w:pPr>
        <w:pStyle w:val="Heading3"/>
      </w:pPr>
      <w:r>
        <w:rPr>
          <w:rFonts w:ascii="Times New Roman" w:hAnsi="Times New Roman"/>
        </w:rPr>
        <w:t>Kostenabschätzung</w:t>
      </w:r>
    </w:p>
    <w:p>
      <w:pPr>
        <w:jc w:val="left"/>
      </w:pPr>
      <w:r>
        <w:t>Sanierungsoption 1 (Bodenaustausch Nordostecke, ca. 800 m³): 380-520 TEUR</w:t>
      </w:r>
    </w:p>
    <w:p>
      <w:pPr>
        <w:jc w:val="left"/>
      </w:pPr>
      <w:r>
        <w:t>Sanierungsoption 2 (Pump-and-Treat Grundwasser, 5 Jahre): 750-1.100 TEUR</w:t>
      </w:r>
    </w:p>
    <w:p>
      <w:pPr>
        <w:jc w:val="left"/>
      </w:pPr>
      <w:r>
        <w:t>Kombinationslösung: Bodenaustausch + P&amp;T: 950-1.400 TEUR</w:t>
      </w:r>
    </w:p>
    <w:p>
      <w:pPr>
        <w:jc w:val="left"/>
      </w:pPr>
      <w:r>
        <w:t>Behördliche Abstimmung mit Landratsamt Passau / Wasserrechtsabteilung ausstehend.</w:t>
      </w:r>
    </w:p>
    <w:p>
      <w:pPr>
        <w:pStyle w:val="Heading3"/>
      </w:pPr>
      <w:r>
        <w:rPr>
          <w:rFonts w:ascii="Times New Roman" w:hAnsi="Times New Roman"/>
        </w:rPr>
        <w:t>SPA-Regelung</w:t>
      </w:r>
    </w:p>
    <w:p>
      <w:pPr>
        <w:jc w:val="left"/>
      </w:pPr>
      <w:r>
        <w:t>Verkäufer-Indemnity für Umweltsanierungskosten empfohlen; Cap 1,5 Mio. EUR; Escrow 500 TEUR für 3 Jahre. Käufer hat Umwelt-Indemnity ohne Cap gefordert — Verhandlung offen.</w:t>
      </w:r>
    </w:p>
    <w:p/>
    <w:p>
      <w:pPr>
        <w:pStyle w:val="Heading2"/>
      </w:pPr>
      <w:r>
        <w:rPr>
          <w:rFonts w:ascii="Times New Roman" w:hAnsi="Times New Roman"/>
        </w:rPr>
        <w:t>5. Deggendorf (Rinner-Bereich)</w:t>
      </w:r>
    </w:p>
    <w:p>
      <w:pPr>
        <w:jc w:val="left"/>
      </w:pPr>
      <w:r>
        <w:t>Deggendorf-Werk: keine Altlasten-Indizien festgestellt; Phase-I-Erkundung unauffällig. Keine weiteren Maßnahmen empfohlen.</w:t>
      </w:r>
    </w:p>
    <w:p>
      <w:pPr>
        <w:jc w:val="left"/>
      </w:pPr>
      <w:r>
        <w:rPr>
          <w:b/>
        </w:rPr>
        <w:t>Gutachter:</w:t>
      </w:r>
      <w:r>
        <w:t xml:space="preserve"> Dr. Andreas Wimberger, Environ Consult GmbH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Environ Consult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Environ Consult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Regensburg (Dr. Andreas Wimberger, öbuv SV BBodSchG)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