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Unternehmensbewertung: EBITDA-Multiple vs. DCF-Analyse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Bewertungsberater:</w:t>
      </w:r>
      <w:r>
        <w:t xml:space="preserve"> Valuaris GmbH, Frankfurt (Dr. Florian Krauss, CVA)</w:t>
      </w:r>
    </w:p>
    <w:p>
      <w:pPr>
        <w:jc w:val="left"/>
      </w:pPr>
      <w:r>
        <w:rPr>
          <w:b/>
        </w:rPr>
        <w:t>Datum:</w:t>
      </w:r>
      <w:r>
        <w:t xml:space="preserve"> 22. Januar 2026</w:t>
      </w:r>
    </w:p>
    <w:p/>
    <w:p>
      <w:pPr>
        <w:pStyle w:val="Heading2"/>
      </w:pPr>
      <w:r>
        <w:rPr>
          <w:rFonts w:ascii="Times New Roman" w:hAnsi="Times New Roman"/>
        </w:rPr>
        <w:t>1. Bewertungsanlass und -auftrag</w:t>
      </w:r>
    </w:p>
    <w:p>
      <w:pPr>
        <w:jc w:val="left"/>
      </w:pPr>
      <w:r>
        <w:t>Fairness-Opinion für Reinhard Pellbach-Wittfeldt als Verkäufer. Prüfung, ob der indizierte Kaufpreis (Basis: 7x EBITDA) einem Drittvergleich standhält. Zwei Methoden: (A) Vergleichsunternehmen-Multiple (Trading und Transaction Comparables) und (B) Discounted-Cash-Flow-Analyse (DCF).</w:t>
      </w:r>
    </w:p>
    <w:p/>
    <w:p>
      <w:pPr>
        <w:pStyle w:val="Heading2"/>
      </w:pPr>
      <w:r>
        <w:rPr>
          <w:rFonts w:ascii="Times New Roman" w:hAnsi="Times New Roman"/>
        </w:rPr>
        <w:t>2. Methode A: EBITDA-Multiple-Analyse</w:t>
      </w:r>
    </w:p>
    <w:p>
      <w:pPr>
        <w:pStyle w:val="Heading3"/>
      </w:pPr>
      <w:r>
        <w:rPr>
          <w:rFonts w:ascii="Times New Roman" w:hAnsi="Times New Roman"/>
        </w:rPr>
        <w:t>Trading Comparables (börsennotierte Vergleichsunternehmen)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Unternehmen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EV/EBITDA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EV/EBITDA 2025e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Sandvik AB (SE)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11,2x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10,8x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Kennametal Inc. (US)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9,4x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8,9x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Iscar (IL, unlisted)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n.v.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n.v.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Hoffmann SE (DE, unlisted)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n.v.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n.v.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Median Listed Peers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10,3x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9,9x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Abschlag Midcap-Illiquidität (ca. 30-35 %)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Angepasster Referenzbereich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6,7x - 7,2x</w:t>
            </w:r>
          </w:p>
        </w:tc>
        <w:tc>
          <w:tcPr>
            <w:tcW w:type="dxa" w:w="3024"/>
          </w:tcPr>
          <w:p/>
        </w:tc>
      </w:tr>
    </w:tbl>
    <w:p>
      <w:pPr>
        <w:pStyle w:val="Heading3"/>
      </w:pPr>
      <w:r>
        <w:rPr>
          <w:rFonts w:ascii="Times New Roman" w:hAnsi="Times New Roman"/>
        </w:rPr>
        <w:t>Transaction Comparables (M&amp;A-Transaktionen 2022-2025)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Transaktion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EV/EBITDA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Sandvik / Vargus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8,5x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Kennametal / Widia-Sparte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7,1x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Halder / Mitteldeutscher Werkzeughersteller (anonym)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6,9x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Durchschnitt vergleichbarer Mid-Cap-Deals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7,5x</w:t>
            </w:r>
          </w:p>
        </w:tc>
      </w:tr>
    </w:tbl>
    <w:p>
      <w:pPr>
        <w:jc w:val="left"/>
      </w:pPr>
      <w:r>
        <w:rPr>
          <w:b/>
        </w:rPr>
        <w:t>Ergebnis Multiple-Analyse:</w:t>
      </w:r>
      <w:r>
        <w:t xml:space="preserve"> Bereinigtes EBITDA 15,15 Mio. EUR x 7,0x = Enterprise Value </w:t>
      </w:r>
      <w:r>
        <w:rPr>
          <w:b/>
        </w:rPr>
        <w:t>106,05 Mio. EUR</w:t>
      </w:r>
      <w:r>
        <w:t xml:space="preserve"> (Bandbreite 6,7x - 7,5x: 101-114 Mio. EUR)</w:t>
      </w:r>
    </w:p>
    <w:p/>
    <w:p>
      <w:pPr>
        <w:pStyle w:val="Heading2"/>
      </w:pPr>
      <w:r>
        <w:rPr>
          <w:rFonts w:ascii="Times New Roman" w:hAnsi="Times New Roman"/>
        </w:rPr>
        <w:t>3. Methode B: DCF-Analyse</w:t>
      </w:r>
    </w:p>
    <w:p>
      <w:pPr>
        <w:pStyle w:val="Heading3"/>
      </w:pPr>
      <w:r>
        <w:rPr>
          <w:rFonts w:ascii="Times New Roman" w:hAnsi="Times New Roman"/>
        </w:rPr>
        <w:t>Planungsannahmen (Business Plan 2025-2030)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Umsatz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EBITDA-Marge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2025e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83,0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19,1 %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2026e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87,5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19,5 %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2027e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92,0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20,0 %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2028e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98,0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20,2 %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2029e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103,0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20,5 %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2030e (Terminal)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106,0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20,5 %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WACC-Herleitung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Risikofreier Zins (Bund 10Y)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2,75 %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Marktrisikoprämmie (IDW S1)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8,00 %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Betafaktor (unlevered Peers)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0,78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Betafaktor (re-levered, Zielkapitalstruktur 40 % FK)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1,05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Eigenkapitalkostensatz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11,15 %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Fremdkapitalkostensatz (post-tax)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3,40 %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WACC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8,04 %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Wachstumsrate Terminal Value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1,50 %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DCF-Ergebnis</w:t>
      </w:r>
    </w:p>
    <w:p>
      <w:pPr>
        <w:jc w:val="left"/>
      </w:pPr>
      <w:r>
        <w:t xml:space="preserve">Enterprise Value DCF: </w:t>
      </w:r>
      <w:r>
        <w:rPr>
          <w:b/>
        </w:rPr>
        <w:t>109,8 Mio. EUR</w:t>
      </w:r>
      <w:r>
        <w:t xml:space="preserve"> (Bandbreite Sensitivitätsanalyse: 98-121 Mio. EUR bei WACC ±1 % und g ±0,5 %)</w:t>
      </w:r>
    </w:p>
    <w:p/>
    <w:p>
      <w:pPr>
        <w:pStyle w:val="Heading2"/>
      </w:pPr>
      <w:r>
        <w:rPr>
          <w:rFonts w:ascii="Times New Roman" w:hAnsi="Times New Roman"/>
        </w:rPr>
        <w:t>4. Earn-Out-Bewertung</w:t>
      </w:r>
    </w:p>
    <w:p>
      <w:pPr>
        <w:jc w:val="left"/>
      </w:pPr>
      <w:r>
        <w:t xml:space="preserve">Max. Earn-Out 10 Mio. EUR bei EBITDA-Hurdle 18 Mio. EUR in 2028. Barwert (3-jähriger Abzinsungsfaktor 8 %): 7,94 Mio. EUR. Eintrittswahrscheinlichkeit aus Business-Plan: 62 % → Erwarteter Barwert Earn-Out: </w:t>
      </w:r>
      <w:r>
        <w:rPr>
          <w:b/>
        </w:rPr>
        <w:t>4,92 Mio. EUR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5. Gesamtwertbandbreite und Fairness-Opinion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Methode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EV (Mio. 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Multiple (Midpoint)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106,1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DCF (Midpoint)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109,8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Gesamtmittel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107,9</w:t>
            </w:r>
          </w:p>
        </w:tc>
      </w:tr>
    </w:tbl>
    <w:p>
      <w:pPr>
        <w:jc w:val="left"/>
      </w:pPr>
      <w:r>
        <w:rPr>
          <w:b/>
        </w:rPr>
        <w:t>Fairness-Opinion:</w:t>
      </w:r>
      <w:r>
        <w:t xml:space="preserve"> Der vereinbarte Enterprise Value von ca. 106 Mio. EUR (7x bereinigtes EBITDA) ist aus Sicht von Valuaris GmbH fair und angemessen für Reinhard Pellbach-Wittfeldt als Verkäufer.</w:t>
      </w:r>
    </w:p>
    <w:p>
      <w:pPr>
        <w:jc w:val="left"/>
      </w:pPr>
      <w:r>
        <w:rPr>
          <w:b/>
        </w:rPr>
        <w:t>Gutachter:</w:t>
      </w:r>
      <w:r>
        <w:t xml:space="preserve"> Dr. Florian Krauss CVA, Valuaris GmbH | SuP/2026-0041-CES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Valuaris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Valuaris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Frankfurt (Dr. Florian Krauss, CVA) · Aktenzeichen: SuP/2026-0041-CES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