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Finanzierungskonzept Steinheim Capital Partners: LBO-Struktur, Mezzanine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Erstellt:</w:t>
      </w:r>
      <w:r>
        <w:t xml:space="preserve"> Informationszusammenstellung für Mandant; Quelle: Steinheim Financing Memorandum v2</w:t>
      </w:r>
    </w:p>
    <w:p>
      <w:pPr>
        <w:jc w:val="left"/>
      </w:pPr>
      <w:r>
        <w:rPr>
          <w:b/>
        </w:rPr>
        <w:t>Datum:</w:t>
      </w:r>
      <w:r>
        <w:t xml:space="preserve"> 18. März 2026</w:t>
      </w:r>
    </w:p>
    <w:p/>
    <w:p>
      <w:pPr>
        <w:pStyle w:val="Heading2"/>
      </w:pPr>
      <w:r>
        <w:rPr>
          <w:rFonts w:ascii="Times New Roman" w:hAnsi="Times New Roman"/>
        </w:rPr>
        <w:t>1. LBO-Finanzierungsstruktur</w:t>
      </w:r>
    </w:p>
    <w:p>
      <w:pPr>
        <w:jc w:val="left"/>
      </w:pPr>
      <w:r>
        <w:t>Steinheim Capital Partners finanziert den Erwerb des 60-%-Anteils an der NewCo (Pellbach AcquiCo GmbH, München, neu)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Finanzierungsschicht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 am Gesamtfinanzierungsbedarf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Senior Unitranche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UniCredit Bank AG (Lead), Commerzbank 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PIK-Mezzanine-Note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17,0 %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Triton Debt Opportunities (Luxembourg)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Eigenkapital Steinheim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Steinheim Capital Partners Fund 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Eigenkapital Lucas Pellbach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Lucas Pellbach privat (via Management Co GmbH)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Akquisitionsfinanzierung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88,0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2268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2. Senior Unitranche (UniCredit / Commerzbank)</w:t>
      </w:r>
    </w:p>
    <w:p>
      <w:pPr>
        <w:pStyle w:val="ListBullet"/>
      </w:pPr>
      <w:r>
        <w:t>Zinssatz: EURIBOR 3M + 380 Basispunkte p.a. (ca. 7,5 % nominal, Stand März 2026)</w:t>
      </w:r>
    </w:p>
    <w:p>
      <w:pPr>
        <w:pStyle w:val="ListBullet"/>
      </w:pPr>
      <w:r>
        <w:t>Laufzeit: 6 Jahre ab Closing; Amortisation: 5 % p.a. der ursprünglichen Valuta; Balloon-Payment Jahr 6</w:t>
      </w:r>
    </w:p>
    <w:p>
      <w:pPr>
        <w:pStyle w:val="ListBullet"/>
      </w:pPr>
      <w:r>
        <w:t>Besicherung: Verpfändung 100 % Anteile NewCo an Senior Lenders; Verpfändung Anteile Pellbach Werkzeugbau KG; Abtretung wesentlicher Forderungen; Grundschuld Passau I und II (soweit nicht durch Umwelt-Indemnity blockiert)</w:t>
      </w:r>
    </w:p>
    <w:p>
      <w:pPr>
        <w:pStyle w:val="ListBullet"/>
      </w:pPr>
      <w:r>
        <w:t>Financial Covenants:</w:t>
      </w:r>
    </w:p>
    <w:p>
      <w:pPr>
        <w:pStyle w:val="ListBullet"/>
      </w:pPr>
      <w:r>
        <w:t>Leverage Ratio (Net Debt/EBITDA): Max. 5,0x (Jahr 1-2); Max. 4,5x (Jahr 3-4); Max. 4,0x (Jahr 5-6)</w:t>
      </w:r>
    </w:p>
    <w:p>
      <w:pPr>
        <w:pStyle w:val="ListBullet"/>
      </w:pPr>
      <w:r>
        <w:t>Interest Coverage (EBITDA/Zinsen): Min. 2,0x p.a.</w:t>
      </w:r>
    </w:p>
    <w:p>
      <w:pPr>
        <w:pStyle w:val="ListBullet"/>
      </w:pPr>
      <w:r>
        <w:t>Capex-Limit: Max. 4 % des Umsatzes p.a. ohne Lender-Zustimmung</w:t>
      </w:r>
    </w:p>
    <w:p/>
    <w:p>
      <w:pPr>
        <w:pStyle w:val="Heading2"/>
      </w:pPr>
      <w:r>
        <w:rPr>
          <w:rFonts w:ascii="Times New Roman" w:hAnsi="Times New Roman"/>
        </w:rPr>
        <w:t>3. PIK-Mezzanine-Note (Triton Debt Opportunities)</w:t>
      </w:r>
    </w:p>
    <w:p>
      <w:pPr>
        <w:pStyle w:val="ListBullet"/>
      </w:pPr>
      <w:r>
        <w:t>PIK = Payment-in-Kind: Zinsen werden nicht laufend bar gezahlt, sondern kapitalisiert (Zinseszins)</w:t>
      </w:r>
    </w:p>
    <w:p>
      <w:pPr>
        <w:pStyle w:val="ListBullet"/>
      </w:pPr>
      <w:r>
        <w:t>Zinssatz: 12,5 % p.a. (all-in; kein EURIBOR-Aufschlag, Festzins)</w:t>
      </w:r>
    </w:p>
    <w:p>
      <w:pPr>
        <w:pStyle w:val="ListBullet"/>
      </w:pPr>
      <w:r>
        <w:t>Laufzeit: 7 Jahre ab Closing; erst ab Jahr 6 Cash-Pay möglich</w:t>
      </w:r>
    </w:p>
    <w:p>
      <w:pPr>
        <w:pStyle w:val="ListBullet"/>
      </w:pPr>
      <w:r>
        <w:t>Senioritätsstufe: Nachrangig gegenüber Senior Unitranche (Intercreditor Agreement)</w:t>
      </w:r>
    </w:p>
    <w:p>
      <w:pPr>
        <w:pStyle w:val="ListBullet"/>
      </w:pPr>
      <w:r>
        <w:t>Warrant: Triton erhält Optionsrecht auf 3 % der NewCo-Anteile bei Exit &gt;3,5x Money on Money</w:t>
      </w:r>
    </w:p>
    <w:p>
      <w:pPr>
        <w:pStyle w:val="ListBullet"/>
      </w:pPr>
      <w:r>
        <w:t>Covenant-Light: keine laufenden Financial Covenants; einzige Verpflichtung: keine Dividenden an Steinheim, solange Leverage &gt;4,0x</w:t>
      </w:r>
    </w:p>
    <w:p/>
    <w:p>
      <w:pPr>
        <w:pStyle w:val="Heading2"/>
      </w:pPr>
      <w:r>
        <w:rPr>
          <w:rFonts w:ascii="Times New Roman" w:hAnsi="Times New Roman"/>
        </w:rPr>
        <w:t>4. Eigenkapitalstruktur NewCo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 NewCo (Pellbach AcquiCo 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Kapitalbetrag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Steinheim Capital Partners Fund IV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22,5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 Management Co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Triton Warrant (ausstehend)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3 % (verwässert)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(Warrant)</w:t>
            </w:r>
          </w:p>
        </w:tc>
      </w:tr>
    </w:tbl>
    <w:p>
      <w:pPr>
        <w:jc w:val="left"/>
      </w:pPr>
      <w:r>
        <w:rPr>
          <w:b/>
        </w:rPr>
        <w:t>Sweet Equity Lucas Pellbach:</w:t>
      </w:r>
      <w:r>
        <w:t xml:space="preserve"> Lucas' 40 % sind als Sweet Equity strukturiert; er zahlt nur 8,5 Mio. EUR, partizipiert jedoch überproportional ab einem IRR von 22 % für Steinheim (Ratchet).</w:t>
      </w:r>
    </w:p>
    <w:p/>
    <w:p>
      <w:pPr>
        <w:pStyle w:val="Heading2"/>
      </w:pPr>
      <w:r>
        <w:rPr>
          <w:rFonts w:ascii="Times New Roman" w:hAnsi="Times New Roman"/>
        </w:rPr>
        <w:t>5. Risikobetrachtung für Reinhard (Verkäufer)</w:t>
      </w:r>
    </w:p>
    <w:p>
      <w:pPr>
        <w:jc w:val="left"/>
      </w:pPr>
      <w:r>
        <w:t>Für Reinhard als Verkäufer ist die Finanzierungsstruktur nachrangig; er erhält den Kaufpreis zu Closing. Risiken:</w:t>
      </w:r>
    </w:p>
    <w:p>
      <w:pPr>
        <w:pStyle w:val="ListBullet"/>
      </w:pPr>
      <w:r>
        <w:t>Earn-Out-Risiko: Falls NewCo/Pellbach durch hohen Schuldendienst (Zinsen ca. 4,5 Mio. EUR p.a. Senior + 1,875 Mio. EUR p.a. PIK-Kapitalisierung) EBITDA-Wachstum nicht erreicht, gefährdet dies den Earn-Out 2028</w:t>
      </w:r>
    </w:p>
    <w:p>
      <w:pPr>
        <w:pStyle w:val="ListBullet"/>
      </w:pPr>
      <w:r>
        <w:t>Indemnity-Risiko: Steinheim ist Rückgriffsgläubiger; Regressansprüche aus Garantieverletzungen werden an NewCo als Käufer geltend gemacht; Reinhard haftet persönlich bis zur Garantieobergrenze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AcquiCo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AcquiCo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München, neu) wie folgt: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