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— Post-Merger-Integration: 100-Tage-Plan und Synergieprogramm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Erstellt:</w:t>
      </w:r>
      <w:r>
        <w:t xml:space="preserve"> Steinheim Capital Partners / Lucas Pellbach</w:t>
      </w:r>
    </w:p>
    <w:p>
      <w:pPr>
        <w:jc w:val="left"/>
      </w:pPr>
      <w:r>
        <w:rPr>
          <w:b/>
        </w:rPr>
        <w:t>PMI-Gesamtverantwortung:</w:t>
      </w:r>
      <w:r>
        <w:t xml:space="preserve"> Lucas Pellbach (CEO ab Closing); Dr. Marcus Steinweg (Aufsichtsrat-Vorsitzender NewCo)</w:t>
      </w:r>
    </w:p>
    <w:p>
      <w:pPr>
        <w:jc w:val="left"/>
      </w:pPr>
      <w:r>
        <w:rPr>
          <w:b/>
        </w:rPr>
        <w:t>Datum:</w:t>
      </w:r>
      <w:r>
        <w:t xml:space="preserve"> 01. April 2026</w:t>
      </w:r>
    </w:p>
    <w:p/>
    <w:p>
      <w:pPr>
        <w:pStyle w:val="Heading2"/>
      </w:pPr>
      <w:r>
        <w:rPr>
          <w:rFonts w:ascii="Times New Roman" w:hAnsi="Times New Roman"/>
        </w:rPr>
        <w:t>1. Governance ab Closing</w:t>
      </w:r>
    </w:p>
    <w:p>
      <w:pPr>
        <w:jc w:val="left"/>
      </w:pPr>
      <w:r>
        <w:rPr>
          <w:b/>
        </w:rPr>
        <w:t>Pellbach AcquiCo GmbH</w:t>
      </w:r>
      <w:r>
        <w:t xml:space="preserve"> wird Alleingesellschafterin der Pellbach Werkzeugbau GmbH &amp; Co. KG.</w:t>
      </w:r>
    </w:p>
    <w:p>
      <w:pPr>
        <w:jc w:val="left"/>
      </w:pPr>
      <w:r>
        <w:t>Aufsichtsrat NewCo (analog § 111 AktG, freiwillig):</w:t>
      </w:r>
    </w:p>
    <w:p>
      <w:pPr>
        <w:pStyle w:val="ListBullet"/>
      </w:pPr>
      <w:r>
        <w:t>Dr. Marcus Steinweg (Steinheim, Vorsitzender)</w:t>
      </w:r>
    </w:p>
    <w:p>
      <w:pPr>
        <w:pStyle w:val="ListBullet"/>
      </w:pPr>
      <w:r>
        <w:t>Dorothea Krampfner (Steinheim, Finanzin)</w:t>
      </w:r>
    </w:p>
    <w:p>
      <w:pPr>
        <w:pStyle w:val="ListBullet"/>
      </w:pPr>
      <w:r>
        <w:t>Lucas Pellbach (Management-Vertreter; kein Stimmrecht im eigenen Ressort)</w:t>
      </w:r>
    </w:p>
    <w:p>
      <w:pPr>
        <w:pStyle w:val="ListBullet"/>
      </w:pPr>
      <w:r>
        <w:t>Klaus-Dieter Mittermeier (Betriebsrats-Vertreter; beratend, kein Stimmrecht nach § 111 AktG)</w:t>
      </w:r>
    </w:p>
    <w:p>
      <w:pPr>
        <w:jc w:val="left"/>
      </w:pPr>
      <w:r>
        <w:t>Geschäftsführung Pellbach Werkzeugbau GmbH &amp; Co. KG:</w:t>
      </w:r>
    </w:p>
    <w:p>
      <w:pPr>
        <w:pStyle w:val="ListBullet"/>
      </w:pPr>
      <w:r>
        <w:t>Lucas Pellbach (CEO/CFO-Übergangsperiode bis 01.10.2026)</w:t>
      </w:r>
    </w:p>
    <w:p>
      <w:pPr>
        <w:pStyle w:val="ListBullet"/>
      </w:pPr>
      <w:r>
        <w:t>ab 01.10.2026: neuer CFO (Steinheim-Nominierung; Headhunter beauftragt)</w:t>
      </w:r>
    </w:p>
    <w:p/>
    <w:p>
      <w:pPr>
        <w:pStyle w:val="Heading2"/>
      </w:pPr>
      <w:r>
        <w:rPr>
          <w:rFonts w:ascii="Times New Roman" w:hAnsi="Times New Roman"/>
        </w:rPr>
        <w:t>2. 100-Tage-Prioritäten</w:t>
      </w:r>
    </w:p>
    <w:p>
      <w:pPr>
        <w:pStyle w:val="Heading3"/>
      </w:pPr>
      <w:r>
        <w:rPr>
          <w:rFonts w:ascii="Times New Roman" w:hAnsi="Times New Roman"/>
        </w:rPr>
        <w:t>Phase 1: Days 1-30 — Stabilisierung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Ziel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Day-1-Mitarbeiterkommunikation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Lucas Pellbach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Vertrauen; kein Stellenabbau-Gerücht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Key-Customer-Outreach (MAN, MTU)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Lucas Pellbach + Vertrieb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CoC-Waiver bestätigen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IT-Systeme: Zugangsrechte-Review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IT-Leiter Pellbach + Steinheim-IT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Sicherheit; keine unauthorisierten Zugriffe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Suzhou: Lieferantensubstitution abschließen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Suzhou-GF + Lucas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Kharkov-Lieferung final beendet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Finanzberichterstattung Q2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CFO-Übergang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 Berichte an Steinheim/Lenders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Phase 2: Days 31-60 —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Ziel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Synergieidentifikation: Einkauf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Steinheim-Portfolioteam + Pellbach-Einkauf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Rahmenverträge; Einsparung ca. 0,8 Mio. EUR p.a. ab Jahr 2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ERP-Kompatibilitätsprüfung (SAP vs. Steinheim-Portfolio)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IT-Leiter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Schnittstellen; keine Systemumstellung vor 2028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Managementreviews aller Werke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Lucas Pellbach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Effizienzpotenziale; Investitionspriorisierung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Betriebsrat-Folgegespräch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Finsterer + BR-Vorsitzender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Interessenausgleich-Umsetzung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Earn-Out-Tracking-System einrichten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CFO-Übergang + KPMG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Monatliche EBITDA-Steuerung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Phase 3: Days 61-100 — Wachstum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Ziel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Business-Plan-Update 2026-2030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Lucas + Steinheim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Earn-Out-Hurdle-Erreichungsplan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CFO-Neubesetzung abschließen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Steinheim-HR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Langfristige Führungsstruktur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Kundengewinnung: 3 neue Tier-1-Automotive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Vertrieb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Umsatzwachstum; Earn-Out-Basis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Investitionsprogramm Passau II (CNC-Erweiterung)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Produktion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Kapazitätserweiterung; EBITDA-Basis 2027-2028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Suzhou: Restrukturierung Lieferantenbasis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Suzhou-GF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Stärkung CH-Markt; Compliance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Synergietabelle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Synergiekategorie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Bruttopotenzial p.a.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Erreichbar ab 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Einkauf-Rahmenverträge Steinheim-Portfolio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IT-Konsolidierung (Shared Services)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Vertrieb (Cross-Selling Steinheim-Kunden)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1,2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Mittel-Hoch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Finanzierungskosten (Zinsoptimierung)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Verwaltungssynergien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 Synergien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3,2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>
      <w:pPr>
        <w:jc w:val="left"/>
      </w:pPr>
      <w:r>
        <w:rPr>
          <w:b/>
        </w:rPr>
        <w:t>Bearbeiterin:</w:t>
      </w:r>
      <w:r>
        <w:t xml:space="preserve"> RAin Dr. Cornelia Schwingenstein-Eichmüller / Steinheim Capital Partners | SuP/2026-0041-CES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Pellbach AcquiCo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Pellbach AcquiCo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 · Aktenzeichen: SuP/2026-0041-CES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