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Klageerwiderung</w:t>
      </w:r>
    </w:p>
    <w:p>
      <w:pPr>
        <w:jc w:val="left"/>
      </w:pPr>
      <w:r>
        <w:rPr>
          <w:b/>
        </w:rPr>
        <w:t>An das Amtsgericht Hamburg, 11. Zivilkammer</w:t>
      </w:r>
    </w:p>
    <w:p>
      <w:pPr>
        <w:jc w:val="left"/>
      </w:pPr>
      <w:r>
        <w:t>Aktenzeichen 11 C 2406/26</w:t>
      </w:r>
    </w:p>
    <w:p>
      <w:pPr>
        <w:jc w:val="left"/>
      </w:pPr>
      <w:r>
        <w:rPr>
          <w:b/>
        </w:rPr>
        <w:t>Eingang Geschäftsstelle:</w:t>
      </w:r>
      <w:r>
        <w:t xml:space="preserve"> 19. März 2026</w:t>
      </w:r>
    </w:p>
    <w:p>
      <w:pPr>
        <w:jc w:val="left"/>
      </w:pPr>
      <w:r>
        <w:t>In dem Rechtsstreit</w:t>
      </w:r>
    </w:p>
    <w:p>
      <w:pPr>
        <w:jc w:val="left"/>
      </w:pPr>
      <w:r>
        <w:t>Datenschutzverein NORD e.V. gegen Lir Optics Ltd.</w:t>
      </w:r>
    </w:p>
    <w:p>
      <w:pPr>
        <w:jc w:val="left"/>
      </w:pPr>
      <w:r>
        <w:t>verteidigen wir die Beklagte. Wir beantragen:</w:t>
      </w:r>
    </w:p>
    <w:p>
      <w:pPr>
        <w:pStyle w:val="ListNumber"/>
      </w:pPr>
      <w:r>
        <w:t>Die Klage wird abgewiesen.</w:t>
      </w:r>
    </w:p>
    <w:p>
      <w:pPr>
        <w:pStyle w:val="ListNumber"/>
      </w:pPr>
      <w:r>
        <w:t>Die Klägerin trägt die Kosten des Rechtsstreits.</w:t>
      </w:r>
    </w:p>
    <w:p>
      <w:pPr>
        <w:jc w:val="left"/>
      </w:pPr>
      <w:r>
        <w:t>Hilfsweise: Die Klage wird als unzulässig abgewiesen.</w:t>
      </w:r>
    </w:p>
    <w:p>
      <w:pPr>
        <w:pStyle w:val="Heading2"/>
      </w:pPr>
      <w:r>
        <w:rPr>
          <w:rFonts w:ascii="Times New Roman" w:hAnsi="Times New Roman"/>
        </w:rPr>
        <w:t>Begründung</w:t>
      </w:r>
    </w:p>
    <w:p>
      <w:pPr>
        <w:pStyle w:val="Heading3"/>
      </w:pPr>
      <w:r>
        <w:rPr>
          <w:rFonts w:ascii="Times New Roman" w:hAnsi="Times New Roman"/>
        </w:rPr>
        <w:t>Unzulässigkeit</w:t>
      </w:r>
    </w:p>
    <w:p>
      <w:pPr>
        <w:jc w:val="left"/>
      </w:pPr>
      <w:r>
        <w:t>Das angerufene Amtsgericht Hamburg ist nicht zuständig. In Ziffer 18.1 unserer AGB (Anlage B 1) heisst es: "Ausschliesslicher Gerichtsstand ist Zürich, Schweiz." Diese Gerichtsstandsvereinbarung ist nach Artikel 25 EuGVVO wirksam. Selbst wenn die Klägerin meint, das Erfüllungsort-Argument greife (Artikel 7 Nummer 1 b EuGVVO), so ist nach FOB Galway gerade nicht Hamburg, sondern Galway Erfüllungsort.</w:t>
      </w:r>
    </w:p>
    <w:p>
      <w:pPr>
        <w:pStyle w:val="Heading3"/>
      </w:pPr>
      <w:r>
        <w:rPr>
          <w:rFonts w:ascii="Times New Roman" w:hAnsi="Times New Roman"/>
        </w:rPr>
        <w:t>Anwendbares Recht</w:t>
      </w:r>
    </w:p>
    <w:p>
      <w:pPr>
        <w:jc w:val="left"/>
      </w:pPr>
      <w:r>
        <w:t>Die Klägerin hat unsere AGB akzeptiert. In Ziffer 17.1 heisst es: "Es gilt schweizerisches Recht unter Ausschluss des UN-Kaufrechts." Damit ist das CISG ausdrücklich ausgeschlossen, Artikel 6 CISG.</w:t>
      </w:r>
    </w:p>
    <w:p>
      <w:pPr>
        <w:jc w:val="left"/>
      </w:pPr>
      <w:r>
        <w:t>Auf einen Knock-out-Streit kommt es nicht an, weil die AGB der Klägerin gar nicht wirksam einbezogen wurden. Die Klägerin hat lediglich im Bestellfeld einen Link auf ihre AGB platziert; ein Hinweis im laufenden Bestellprozess der Beklagten fehlt. Damit liegen nur unsere AGB, nicht aber die der Klägerin vor.</w:t>
      </w:r>
    </w:p>
    <w:p>
      <w:pPr>
        <w:pStyle w:val="Heading3"/>
      </w:pPr>
      <w:r>
        <w:rPr>
          <w:rFonts w:ascii="Times New Roman" w:hAnsi="Times New Roman"/>
        </w:rPr>
        <w:t>Kein Sachmangel</w:t>
      </w:r>
    </w:p>
    <w:p>
      <w:pPr>
        <w:jc w:val="left"/>
      </w:pPr>
      <w:r>
        <w:t>Die Brille ist technisch einwandfrei. Sie erfüllt alle versprochenen Spezifikationen: 8K Auflösung pro Auge, 60 Hz, eight-hour Batterielaufzeit, Gewicht 95 Gramm.</w:t>
      </w:r>
    </w:p>
    <w:p>
      <w:pPr>
        <w:jc w:val="left"/>
      </w:pPr>
      <w:r>
        <w:t>Soweit die Klägerin auf datenschutzrechtliche Aspekte abstellt, sind diese nicht Bestandteil der vertraglichen Leistungsbeschreibung. Ein Produkt ist nicht schon deshalb mangelhaft im Sinne von Artikel 35 CISG, weil seine Verwendung in einem bestimmten Land rechtliche Probleme aufwerfen könnte. Dies ist Risiko des Käufers, der die Ware in seinem Heimatland einsetzt.</w:t>
      </w:r>
    </w:p>
    <w:p>
      <w:pPr>
        <w:jc w:val="left"/>
      </w:pPr>
      <w:r>
        <w:t xml:space="preserve">Insbesondere ist die Aufzeichnungsfunktion </w:t>
      </w:r>
      <w:r>
        <w:rPr>
          <w:b/>
        </w:rPr>
        <w:t>standardmaessig deaktiviert</w:t>
      </w:r>
      <w:r>
        <w:t xml:space="preserve"> und muss vom Nutzer aktiv eingeschaltet werden. Dem ist die Klägerin nicht nachgekommen. Bei standardgemaesser Nutzung verstoesst die Brille gegen kein deutsches Datenschutzrecht.</w:t>
      </w:r>
    </w:p>
    <w:p>
      <w:pPr>
        <w:jc w:val="left"/>
      </w:pPr>
      <w:r>
        <w:t>Hilfsweise: Die Gesichtserkennung kann in den Einstellungen ausgeschaltet werden. Auch hier trägt der Nutzer das Konfigurationsrisiko.</w:t>
      </w:r>
    </w:p>
    <w:p>
      <w:pPr>
        <w:pStyle w:val="Heading3"/>
      </w:pPr>
      <w:r>
        <w:rPr>
          <w:rFonts w:ascii="Times New Roman" w:hAnsi="Times New Roman"/>
        </w:rPr>
        <w:t>DSGVO greift nicht durch</w:t>
      </w:r>
    </w:p>
    <w:p>
      <w:pPr>
        <w:jc w:val="left"/>
      </w:pPr>
      <w:r>
        <w:t xml:space="preserve">Die DSGVO regelt Pflichten des </w:t>
      </w:r>
      <w:r>
        <w:rPr>
          <w:b/>
        </w:rPr>
        <w:t>Verantwortlichen</w:t>
      </w:r>
      <w:r>
        <w:t>. Hersteller-Pflichten gibt es in der DSGVO nicht. Sollte ein Nutzer die Brille DSGVO-widrig einsetzen, träfe ihn die Verantwortlichkeit, nicht die Beklagte.</w:t>
      </w:r>
    </w:p>
    <w:p>
      <w:pPr>
        <w:pStyle w:val="Heading3"/>
      </w:pPr>
      <w:r>
        <w:rPr>
          <w:rFonts w:ascii="Times New Roman" w:hAnsi="Times New Roman"/>
        </w:rPr>
        <w:t>FOB Galway</w:t>
      </w:r>
    </w:p>
    <w:p>
      <w:pPr>
        <w:jc w:val="left"/>
      </w:pPr>
      <w:r>
        <w:t>Mit der Übergabe der Brille an den Frachtführer in Galway am 17. Februar 2026 ist der Gefahruebergang nach Artikel 67 Absatz 1 CISG erfolgt. Jeder Mangel, der nach diesem Zeitpunkt auftritt, geht zu Lasten der Klägerin.</w:t>
      </w:r>
    </w:p>
    <w:p>
      <w:pPr>
        <w:pStyle w:val="Heading3"/>
      </w:pPr>
      <w:r>
        <w:rPr>
          <w:rFonts w:ascii="Times New Roman" w:hAnsi="Times New Roman"/>
        </w:rPr>
        <w:t>Gutachterkosten</w:t>
      </w:r>
    </w:p>
    <w:p>
      <w:pPr>
        <w:jc w:val="left"/>
      </w:pPr>
      <w:r>
        <w:t>Die Klägerin hat ohne Aufforderung und vor einer Mangelrüge ein Gutachten in Auftrag gegeben. Diese Kosten sind selbst veranlasst und nicht erstattungsfaehig.</w:t>
      </w:r>
    </w:p>
    <w:p>
      <w:pPr>
        <w:pStyle w:val="Heading3"/>
      </w:pPr>
      <w:r>
        <w:rPr>
          <w:rFonts w:ascii="Times New Roman" w:hAnsi="Times New Roman"/>
        </w:rPr>
        <w:t>Annahmeverzug</w:t>
      </w:r>
    </w:p>
    <w:p>
      <w:pPr>
        <w:jc w:val="left"/>
      </w:pPr>
      <w:r>
        <w:t>Wir verweigern die Rücknahme nicht; wir bestreiten lediglich den Anspruch dem Grunde nach. Damit befindet sich die Beklagte nicht in Annahmeverzug.</w:t>
      </w:r>
    </w:p>
    <w:p>
      <w:pPr>
        <w:jc w:val="left"/>
      </w:pPr>
      <w:r>
        <w:t>Mit freundlichen Gruessen</w:t>
      </w:r>
    </w:p>
    <w:p>
      <w:pPr>
        <w:jc w:val="left"/>
      </w:pPr>
      <w:r>
        <w:t>Markus Rieder</w:t>
      </w:r>
    </w:p>
    <w:p>
      <w:pPr>
        <w:jc w:val="left"/>
      </w:pPr>
      <w:r>
        <w:t>Rechtsanwalt</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Amtsgericht Hamburg</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Amtsgericht Hamburg</w:t>
    </w:r>
  </w:p>
  <w:p>
    <w:pPr>
      <w:jc w:val="left"/>
      <w:pBdr>
        <w:bottom w:val="single" w:sz="6" w:space="2" w:color="3B3F45"/>
      </w:pBdr>
    </w:pPr>
    <w:r>
      <w:rPr>
        <w:rFonts w:ascii="Times New Roman" w:hAnsi="Times New Roman"/>
        <w:color w:val="6B6B66"/>
        <w:sz w:val="16"/>
      </w:rPr>
      <w:t>11. Zivilkammer · Aktenzeichen 11 C 2406/26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