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Replik der Klägerin</w:t>
      </w:r>
    </w:p>
    <w:p>
      <w:pPr>
        <w:jc w:val="left"/>
      </w:pPr>
      <w:r>
        <w:rPr>
          <w:b/>
        </w:rPr>
        <w:t>An das Amtsgericht Hamburg, 11. Zivilkammer</w:t>
      </w:r>
    </w:p>
    <w:p>
      <w:pPr>
        <w:jc w:val="left"/>
      </w:pPr>
      <w:r>
        <w:t>Aktenzeichen 11 C 2406/26</w:t>
      </w:r>
    </w:p>
    <w:p>
      <w:pPr>
        <w:jc w:val="left"/>
      </w:pPr>
      <w:r>
        <w:rPr>
          <w:b/>
        </w:rPr>
        <w:t>Eingang Geschäftsstelle:</w:t>
      </w:r>
      <w:r>
        <w:t xml:space="preserve"> 9. April 2026</w:t>
      </w:r>
    </w:p>
    <w:p>
      <w:pPr>
        <w:jc w:val="left"/>
      </w:pPr>
      <w:r>
        <w:t>In dem Rechtsstreit</w:t>
      </w:r>
    </w:p>
    <w:p>
      <w:pPr>
        <w:jc w:val="left"/>
      </w:pPr>
      <w:r>
        <w:t>Datenschutzverein NORD e.V. gegen Lir Optics Ltd.</w:t>
      </w:r>
    </w:p>
    <w:p>
      <w:pPr>
        <w:jc w:val="left"/>
      </w:pPr>
      <w:r>
        <w:t>erwidern wir auf die Klageerwiderung der Beklagten:</w:t>
      </w:r>
    </w:p>
    <w:p>
      <w:pPr>
        <w:pStyle w:val="Heading2"/>
      </w:pPr>
      <w:r>
        <w:rPr>
          <w:rFonts w:ascii="Times New Roman" w:hAnsi="Times New Roman"/>
        </w:rPr>
        <w:t>Zur Zuständigkeit</w:t>
      </w:r>
    </w:p>
    <w:p>
      <w:pPr>
        <w:jc w:val="left"/>
      </w:pPr>
      <w:r>
        <w:t>Die Beklagte beruft sich auf ihre Ziffer 18.1 (Gerichtsstand Zürich). Diese Gerichtsstandsvereinbarung ist unwirksam, weil:</w:t>
      </w:r>
    </w:p>
    <w:p>
      <w:pPr>
        <w:pStyle w:val="ListNumber"/>
      </w:pPr>
      <w:r>
        <w:t xml:space="preserve">Es liegt eine </w:t>
      </w:r>
      <w:r>
        <w:rPr>
          <w:b/>
        </w:rPr>
        <w:t>AGB-Kollision</w:t>
      </w:r>
      <w:r>
        <w:t xml:space="preserve"> vor. In unseren AGB (Anlage K 1, Ziffer 14) ist Gerichtsstand Hamburg vereinbart. Nach der Knock-out-Doktrin des BGH fallen beide Klauseln weg; es gelten die allgemeinen Vorschriften, also Artikel 7 Nummer 1 b EuGVVO und Erfüllungsort Hamburg (Lieferort).</w:t>
      </w:r>
    </w:p>
    <w:p>
      <w:pPr>
        <w:pStyle w:val="ListNumber"/>
      </w:pPr>
      <w:r>
        <w:t>Selbst wenn die Klausel als allein massgeblich anzusehen wäre, ist sie nach Artikel 25 Absatz 5 EuGVVO formunwirksam, weil der Hinweis im Bestellprozess unter einer hierarchisch dritten Verlinkungsebene versteckt war.</w:t>
      </w:r>
    </w:p>
    <w:p>
      <w:pPr>
        <w:pStyle w:val="ListNumber"/>
      </w:pPr>
      <w:r>
        <w:t xml:space="preserve">Hilfsweise: Die Beklagte ist eine </w:t>
      </w:r>
      <w:r>
        <w:rPr>
          <w:b/>
        </w:rPr>
        <w:t>irische</w:t>
      </w:r>
      <w:r>
        <w:t xml:space="preserve"> Gesellschaft. Eine Schweizer Gerichtsstandsvereinbarung erscheint willkürlich und gewahltigt der Klägerin den Zugang zur Rechtspflege über Gebühr.</w:t>
      </w:r>
    </w:p>
    <w:p>
      <w:pPr>
        <w:pStyle w:val="Heading2"/>
      </w:pPr>
      <w:r>
        <w:rPr>
          <w:rFonts w:ascii="Times New Roman" w:hAnsi="Times New Roman"/>
        </w:rPr>
        <w:t>Zur Rechtswahl und zum CISG</w:t>
      </w:r>
    </w:p>
    <w:p>
      <w:pPr>
        <w:jc w:val="left"/>
      </w:pPr>
      <w:r>
        <w:t>Ziffer 17.1 der Beklagten kollidiert mit Ziffer 13 unserer AGB (deutsches Recht). Damit ist keine wirksame Rechtswahl getroffen. Auch hier greift die Knock-out-Doktrin.</w:t>
      </w:r>
    </w:p>
    <w:p>
      <w:pPr>
        <w:jc w:val="left"/>
      </w:pPr>
      <w:r>
        <w:t>Mangels wirksamer Rechtswahl ist nach Artikel 4 Absatz 1 a Rom-I das Recht am Sitz des Verkäufers anzuwenden, also irisches Recht. Da Irland Vertragsstaat des CISG ist und das CISG nicht ausdrücklich abbedungen wurde, gilt das CISG.</w:t>
      </w:r>
    </w:p>
    <w:p>
      <w:pPr>
        <w:pStyle w:val="Heading2"/>
      </w:pPr>
      <w:r>
        <w:rPr>
          <w:rFonts w:ascii="Times New Roman" w:hAnsi="Times New Roman"/>
        </w:rPr>
        <w:t>Zum Sachmangel</w:t>
      </w:r>
    </w:p>
    <w:p>
      <w:pPr>
        <w:jc w:val="left"/>
      </w:pPr>
      <w:r>
        <w:t xml:space="preserve">Die Beklagte verkennt den Mangelbegriff des CISG. Artikel 35 Absatz 2 a CISG verlangt Eignung für den </w:t>
      </w:r>
      <w:r>
        <w:rPr>
          <w:b/>
        </w:rPr>
        <w:t>gewöhnlichen Gebrauch</w:t>
      </w:r>
      <w:r>
        <w:t>. Der gewöhnliche Gebrauch einer Augmented-Reality-Brille in 2026 schliesst das Tragen in der Öffentlichkeit ein. Genau hier verstoesst die Brille gegen mehrere zwingende Normen:</w:t>
      </w:r>
    </w:p>
    <w:p>
      <w:pPr>
        <w:pStyle w:val="ListBullet"/>
      </w:pPr>
      <w:r>
        <w:rPr>
          <w:b/>
        </w:rPr>
        <w:t>Artikel 6 DSGVO</w:t>
      </w:r>
      <w:r>
        <w:t>: Heimliche Videoaufnahmen Dritter ohne Rechtsgrundlage.</w:t>
      </w:r>
    </w:p>
    <w:p>
      <w:pPr>
        <w:pStyle w:val="ListBullet"/>
      </w:pPr>
      <w:r>
        <w:rPr>
          <w:b/>
        </w:rPr>
        <w:t>Paragraf 201a StGB</w:t>
      </w:r>
      <w:r>
        <w:t>: Verletzung des hoechstpersoenlichen Lebensbereichs durch Bildaufnahmen.</w:t>
      </w:r>
    </w:p>
    <w:p>
      <w:pPr>
        <w:pStyle w:val="ListBullet"/>
      </w:pPr>
      <w:r>
        <w:rPr>
          <w:b/>
        </w:rPr>
        <w:t>Artikel 9 DSGVO</w:t>
      </w:r>
      <w:r>
        <w:t>: Biometrische Daten ohne Einwilligung.</w:t>
      </w:r>
    </w:p>
    <w:p>
      <w:pPr>
        <w:jc w:val="left"/>
      </w:pPr>
      <w:r>
        <w:t xml:space="preserve">Soweit die Beklagte behauptet, die Aufzeichnung sei "standardmaessig deaktiviert", ist dies unzutreffend. Der Sachverständige hat ausweislich Anlage K 4 Seite 14 festgestellt, dass die Brille </w:t>
      </w:r>
      <w:r>
        <w:rPr>
          <w:b/>
        </w:rPr>
        <w:t>bei Inbetriebnahme automatisch Buffering-Aufzeichnungen</w:t>
      </w:r>
      <w:r>
        <w:t xml:space="preserve"> anlegt und 60 Sekunden in einem Ringspeicher hält. Diese Funktion lässt sich nicht abschalten.</w:t>
      </w:r>
    </w:p>
    <w:p>
      <w:pPr>
        <w:pStyle w:val="Heading2"/>
      </w:pPr>
      <w:r>
        <w:rPr>
          <w:rFonts w:ascii="Times New Roman" w:hAnsi="Times New Roman"/>
        </w:rPr>
        <w:t>Zur DSGVO-Verantwortlichkeit</w:t>
      </w:r>
    </w:p>
    <w:p>
      <w:pPr>
        <w:jc w:val="left"/>
      </w:pPr>
      <w:r>
        <w:t>Es trifft zu, dass die DSGVO sich primär an den Verantwortlichen richtet. Hersteller von Produkten, die so gebaut sind, dass ihre übliche Verwendung gegen die DSGVO verstoesst, machen sich aber privatrechtlich angreifbar, weil sie sittenwidrige oder marktillegale Produkte in Verkehr bringen (Paragraf 138 BGB, Paragraf 826 BGB, Artikel 35 CISG).</w:t>
      </w:r>
    </w:p>
    <w:p>
      <w:pPr>
        <w:pStyle w:val="Heading2"/>
      </w:pPr>
      <w:r>
        <w:rPr>
          <w:rFonts w:ascii="Times New Roman" w:hAnsi="Times New Roman"/>
        </w:rPr>
        <w:t>Zum FOB Galway</w:t>
      </w:r>
    </w:p>
    <w:p>
      <w:pPr>
        <w:jc w:val="left"/>
      </w:pPr>
      <w:r>
        <w:t>Die Beklagte übersieht Artikel 36 Absatz 1 CISG: Der Verkäufer haftet für jeden Mangel, der schon zur Zeit des Gefahruebergangs bestand, auch wenn dieser erst später erkennbar wird. Die DSGVO-Widrigkeit der Software ist im Werk vorinstalliert; sie war bereits beim Verladen in Galway vorhanden.</w:t>
      </w:r>
    </w:p>
    <w:p>
      <w:pPr>
        <w:pStyle w:val="Heading2"/>
      </w:pPr>
      <w:r>
        <w:rPr>
          <w:rFonts w:ascii="Times New Roman" w:hAnsi="Times New Roman"/>
        </w:rPr>
        <w:t>Zum Annahmeverzug</w:t>
      </w:r>
    </w:p>
    <w:p>
      <w:pPr>
        <w:jc w:val="left"/>
      </w:pPr>
      <w:r>
        <w:t>Die Beklagte hat mit Schreiben vom 25. Februar 2026 (Anlage K 7) die Rücknahme der Brille verweigert. Damit ist Annahmeverzug eingetreten, Paragraf 293 BGB analog (entspricht Artikel 81 Absatz 2 CISG).</w:t>
      </w:r>
    </w:p>
    <w:p>
      <w:pPr>
        <w:jc w:val="left"/>
      </w:pPr>
      <w:r>
        <w:t>Mit freundlichen Gruessen</w:t>
      </w:r>
    </w:p>
    <w:p>
      <w:pPr>
        <w:jc w:val="left"/>
      </w:pPr>
      <w:r>
        <w:t>Dr. Mareike Wendt</w:t>
      </w:r>
    </w:p>
    <w:p>
      <w:pPr>
        <w:jc w:val="left"/>
      </w:pPr>
      <w:r>
        <w:t>Rechtsanwältin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Hamburg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Hamburg</w:t>
    </w:r>
  </w:p>
  <w:p>
    <w:pPr>
      <w:jc w:val="left"/>
      <w:pBdr>
        <w:bottom w:val="single" w:sz="6" w:space="2" w:color="3B3F45"/>
      </w:pBdr>
    </w:pPr>
    <w:r>
      <w:rPr>
        <w:rFonts w:ascii="Times New Roman" w:hAnsi="Times New Roman"/>
        <w:color w:val="6B6B66"/>
        <w:sz w:val="16"/>
      </w:rPr>
      <w:t>11. Zivilkammer · Aktenzeichen 11 C 2406/26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