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Protokoll der öffentlichen Sitzung</w:t>
      </w:r>
    </w:p>
    <w:p>
      <w:pPr>
        <w:jc w:val="left"/>
      </w:pPr>
      <w:r>
        <w:rPr>
          <w:b/>
        </w:rPr>
        <w:t>Geschäfts-Nr.:</w:t>
      </w:r>
      <w:r>
        <w:t xml:space="preserve"> 11 C 2406/26</w:t>
      </w:r>
    </w:p>
    <w:p>
      <w:pPr>
        <w:jc w:val="left"/>
      </w:pPr>
      <w:r>
        <w:rPr>
          <w:b/>
        </w:rPr>
        <w:t>Tag:</w:t>
      </w:r>
      <w:r>
        <w:t xml:space="preserve"> Freitag, 15. Mai 2026</w:t>
      </w:r>
    </w:p>
    <w:p>
      <w:pPr>
        <w:jc w:val="left"/>
      </w:pPr>
      <w:r>
        <w:rPr>
          <w:b/>
        </w:rPr>
        <w:t>Ort:</w:t>
      </w:r>
      <w:r>
        <w:t xml:space="preserve"> Amtsgericht Hamburg, Sievekingplatz Nummer 1, Sitzungssaal 113</w:t>
      </w:r>
    </w:p>
    <w:p>
      <w:pPr>
        <w:jc w:val="left"/>
      </w:pPr>
      <w:r>
        <w:rPr>
          <w:b/>
        </w:rPr>
        <w:t>Beginn:</w:t>
      </w:r>
      <w:r>
        <w:t xml:space="preserve"> 9 Uhr 30</w:t>
      </w:r>
    </w:p>
    <w:p>
      <w:pPr>
        <w:jc w:val="left"/>
      </w:pPr>
      <w:r>
        <w:rPr>
          <w:b/>
        </w:rPr>
        <w:t>Ende:</w:t>
      </w:r>
      <w:r>
        <w:t xml:space="preserve"> 11 Uhr 45</w:t>
      </w:r>
    </w:p>
    <w:p>
      <w:pPr>
        <w:jc w:val="left"/>
      </w:pPr>
      <w:r>
        <w:rPr>
          <w:b/>
        </w:rPr>
        <w:t>Anwesend:</w:t>
      </w:r>
    </w:p>
    <w:p>
      <w:pPr>
        <w:pStyle w:val="ListBullet"/>
      </w:pPr>
      <w:r>
        <w:t>Richterin am Amtsgericht Dr. Anneliese Beispiel</w:t>
      </w:r>
    </w:p>
    <w:p>
      <w:pPr>
        <w:pStyle w:val="ListBullet"/>
      </w:pPr>
      <w:r>
        <w:t>Urkundsbeamtin der Geschäftsstelle: Frau Schmidt</w:t>
      </w:r>
    </w:p>
    <w:p>
      <w:pPr>
        <w:pStyle w:val="ListBullet"/>
      </w:pPr>
      <w:r>
        <w:t>für die Klägerin: Rechtsanwältin Dr. Mareike Wendt; Mitanwesend Vorsitzender Dr. Jens Holm</w:t>
      </w:r>
    </w:p>
    <w:p>
      <w:pPr>
        <w:pStyle w:val="ListBullet"/>
      </w:pPr>
      <w:r>
        <w:t>für die Beklagte: Rechtsanwalt Markus Rieder</w:t>
      </w:r>
    </w:p>
    <w:p>
      <w:pPr>
        <w:jc w:val="left"/>
      </w:pPr>
      <w:r>
        <w:t>Aufgerufen die Sache Datenschutzverein NORD e.V. gegen Lir Optics Ltd.</w:t>
      </w:r>
    </w:p>
    <w:p>
      <w:pPr>
        <w:jc w:val="left"/>
      </w:pPr>
      <w:r>
        <w:t>Die Sach- und Rechtslage wurde mit den Parteien erörtert.</w:t>
      </w:r>
    </w:p>
    <w:p>
      <w:pPr>
        <w:jc w:val="left"/>
      </w:pPr>
      <w:r>
        <w:t>Die Klägerin überreichte als Anlage zur Akte ein Original der streitgegenstaendlichen Brille und ein USB-Stick mit Buffering-Mitschnitt.</w:t>
      </w:r>
    </w:p>
    <w:p>
      <w:pPr>
        <w:jc w:val="left"/>
      </w:pPr>
      <w:r>
        <w:t>Die Beklagte überreichte ein Schreiben des CTO der Lir Optics Ltd., wonach die Buffering-Funktion ab Firmware 2.5.0 (geplant Juli 2026) deaktiviert sein werde.</w:t>
      </w:r>
    </w:p>
    <w:p>
      <w:pPr>
        <w:jc w:val="left"/>
      </w:pPr>
      <w:r>
        <w:t>Es wurde Beweis erhoben durch Vernehmung des Sachverständigen Dipl.-Ing. Tobias Reiff. Inhalt der Aussage:</w:t>
      </w:r>
    </w:p>
    <w:p>
      <w:pPr>
        <w:jc w:val="left"/>
      </w:pPr>
      <w:r>
        <w:t>"Ich bestätige meine schriftliche Begutachtung. Die Buffering-Funktion ist im Werkszustand aktiv. Ich habe das streitgegenstaendliche Gerät selbst aus versiegelter Originalverpackung ausgepackt und ohne weitere Konfiguration gepruef. Eine LED-Anzeige der Aufzeichnung ist nicht verbaut. Auch der Aktivierungs-Pin der Kamera ist nicht über den optischen Aussenrand erkennbar."</w:t>
      </w:r>
    </w:p>
    <w:p>
      <w:pPr>
        <w:jc w:val="left"/>
      </w:pPr>
      <w:r>
        <w:t>Die Klägerin beantragt wie in der Klagschrift.</w:t>
      </w:r>
    </w:p>
    <w:p>
      <w:pPr>
        <w:jc w:val="left"/>
      </w:pPr>
      <w:r>
        <w:t>Die Beklagte beantragt Klagabweisung.</w:t>
      </w:r>
    </w:p>
    <w:p>
      <w:pPr>
        <w:jc w:val="left"/>
      </w:pPr>
      <w:r>
        <w:t>Die Parteien erklärten sich mit einer Entscheidung im schriftlichen Verfahren einverstanden, Paragraf 128 Absatz 2 ZPO.</w:t>
      </w:r>
    </w:p>
    <w:p>
      <w:pPr>
        <w:jc w:val="left"/>
      </w:pPr>
      <w:r>
        <w:t>Beschlossen und verkündet:</w:t>
      </w:r>
    </w:p>
    <w:p>
      <w:pPr>
        <w:pStyle w:val="ListNumber"/>
      </w:pPr>
      <w:r>
        <w:t>Es wird im schriftlichen Verfahren entschieden.</w:t>
      </w:r>
    </w:p>
    <w:p>
      <w:pPr>
        <w:pStyle w:val="ListNumber"/>
      </w:pPr>
      <w:r>
        <w:t>Termin zur Verkündung einer Entscheidung wird bestimmt auf den 03. Juni 2026, 10 Uhr 00.</w:t>
      </w:r>
    </w:p>
    <w:p>
      <w:pPr>
        <w:jc w:val="left"/>
      </w:pPr>
      <w:r>
        <w:t>Schluss der mündlichen Verhandlung.</w:t>
      </w:r>
    </w:p>
    <w:p>
      <w:pPr>
        <w:jc w:val="left"/>
      </w:pPr>
      <w:r>
        <w:t>(Dr. Beispiel, Vorsitzende)</w:t>
      </w:r>
    </w:p>
    <w:p>
      <w:pPr>
        <w:jc w:val="left"/>
      </w:pPr>
      <w:r>
        <w:t>(Schmidt, Urkundsbeamtin)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Sievekingplatz Nummer 1, Sitzungssaal 113 · 11 C 2406/26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