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Die Klage ist zulässig und im Wesentlichen begründet.</w:t>
      </w:r>
    </w:p>
    <w:p>
      <w:pPr>
        <w:pStyle w:val="Heading2"/>
      </w:pPr>
      <w:r>
        <w:rPr>
          <w:rFonts w:ascii="Times New Roman" w:hAnsi="Times New Roman"/>
        </w:rPr>
        <w:t>A. Zulässigkeit</w:t>
      </w:r>
    </w:p>
    <w:p>
      <w:pPr>
        <w:pStyle w:val="Heading3"/>
      </w:pPr>
      <w:r>
        <w:rPr>
          <w:rFonts w:ascii="Times New Roman" w:hAnsi="Times New Roman"/>
        </w:rPr>
        <w:t>I. Internationale und örtliche Zuständigkeit</w:t>
      </w:r>
    </w:p>
    <w:p>
      <w:pPr>
        <w:jc w:val="left"/>
      </w:pPr>
      <w:r>
        <w:t>Das Amtsgericht Hamburg ist international und örtlich zuständig nach Artikel 7 Nummer 1 b der Verordnung (EU) Nummer 1215/2012 (EuGVVO). Erfüllungsort der Lieferung im Sinne der Vorschrift ist der Ort, an dem die Sache nach dem Vertrag geliefert worden ist, hier Hamburg.</w:t>
      </w:r>
    </w:p>
    <w:p>
      <w:pPr>
        <w:jc w:val="left"/>
      </w:pPr>
      <w:r>
        <w:t>Auf die Gerichtsstandsvereinbarung in Ziffer 18.1 der AGB der Beklagten kommt es nicht an. Diese ist nicht wirksam zustande gekommen, weil die widerstreitenden AGB der Klägerin und der Beklagten kollidieren. Nach gefestigter höchstrichterlicher Rechtsprechung gilt im Fall der Kollision von einander widersprechenden Geschäftsbedingungen die Knock-out-Doktrin: Soweit die Bedingungen sich widersprechen, fallen die kollidierenden Klauseln aus dem Vertrag heraus; an ihre Stelle treten die gesetzlichen Vorschriften.</w:t>
      </w:r>
    </w:p>
    <w:p>
      <w:pPr>
        <w:pStyle w:val="Heading3"/>
      </w:pPr>
      <w:r>
        <w:rPr>
          <w:rFonts w:ascii="Times New Roman" w:hAnsi="Times New Roman"/>
        </w:rPr>
        <w:t>II. Sachliche Zuständigkeit</w:t>
      </w:r>
    </w:p>
    <w:p>
      <w:pPr>
        <w:jc w:val="left"/>
      </w:pPr>
      <w:r>
        <w:t>Das Amtsgericht ist nach Paragraf 23 Nummer 1 GVG sachlich zuständig, weil der Streitwert mit 1577 EUR unter der Wertgrenze von 5000 EUR liegt.</w:t>
      </w:r>
    </w:p>
    <w:p>
      <w:pPr>
        <w:pStyle w:val="Heading3"/>
      </w:pPr>
      <w:r>
        <w:rPr>
          <w:rFonts w:ascii="Times New Roman" w:hAnsi="Times New Roman"/>
        </w:rPr>
        <w:t>III. Parteifähigkeit</w:t>
      </w:r>
    </w:p>
    <w:p>
      <w:pPr>
        <w:jc w:val="left"/>
      </w:pPr>
      <w:r>
        <w:t>Die Klägerin ist als eingetragener Verein nach Paragraf 50 Absatz 1 ZPO parteifaehig und nach Paragraf 79 Absatz 1 BDSG sowie Paragraf 8 Absatz 3 Nummer 4 UWG klagebefugt.</w:t>
      </w:r>
    </w:p>
    <w:p>
      <w:pPr>
        <w:pStyle w:val="Heading2"/>
      </w:pPr>
      <w:r>
        <w:rPr>
          <w:rFonts w:ascii="Times New Roman" w:hAnsi="Times New Roman"/>
        </w:rPr>
        <w:t>B. Begruendetheit</w:t>
      </w:r>
    </w:p>
    <w:p>
      <w:pPr>
        <w:pStyle w:val="Heading3"/>
      </w:pPr>
      <w:r>
        <w:rPr>
          <w:rFonts w:ascii="Times New Roman" w:hAnsi="Times New Roman"/>
        </w:rPr>
        <w:t>I. Anwendbares Recht</w:t>
      </w:r>
    </w:p>
    <w:p>
      <w:pPr>
        <w:jc w:val="left"/>
      </w:pPr>
      <w:r>
        <w:t xml:space="preserve">Anwendbar ist das </w:t>
      </w:r>
      <w:r>
        <w:rPr>
          <w:b/>
        </w:rPr>
        <w:t>UN-Kaufrecht</w:t>
      </w:r>
      <w:r>
        <w:t xml:space="preserve"> (CISG). Sowohl Deutschland (Inkrafttreten 1. Januar 1991) als auch Irland (Inkrafttreten 1. Januar 2026 nach langer Verzögerung; hilfsweise direkt nach Artikel 1 Absatz 1 b CISG über das IPR der Schweiz beziehungsweise Deutschlands, weil beide Staaten Vertragsstaaten sind) sind CISG-Vertragsstaaten.</w:t>
      </w:r>
    </w:p>
    <w:p>
      <w:pPr>
        <w:jc w:val="left"/>
      </w:pPr>
      <w:r>
        <w:t xml:space="preserve">Ein Ausschluss des CISG nach Artikel 6 CISG ist nicht wirksam erfolgt. Auch hier greift die Knock-out-Doktrin: Die Rechtswahlklausel in Ziffer 13 der AGB der Klägerin (deutsches Recht </w:t>
      </w:r>
      <w:r>
        <w:rPr>
          <w:b/>
        </w:rPr>
        <w:t>mit</w:t>
      </w:r>
      <w:r>
        <w:t xml:space="preserve"> CISG) und Ziffer 17.1 der AGB der Beklagten (schweizerisches Recht </w:t>
      </w:r>
      <w:r>
        <w:rPr>
          <w:b/>
        </w:rPr>
        <w:t>ohne</w:t>
      </w:r>
      <w:r>
        <w:t xml:space="preserve"> CISG) widersprechen sich, was den Ausschluss betrifft. Damit gilt die gesetzliche Anordnung, also Artikel 1 Absatz 1 CISG.</w:t>
      </w:r>
    </w:p>
    <w:p>
      <w:pPr>
        <w:jc w:val="left"/>
      </w:pPr>
      <w:r>
        <w:t>Soweit zwingende DSGVO-Bestimmungen in Rede stehen, fanden diese ohnehin unabhängig von der vertraglichen Rechtswahl Anwendung. Die DSGVO ist nach Artikel 9 Rom-I sowie nach ihrem eigenen Marktortprinzip in Artikel 3 Absatz 2 DSGVO international anwendbar.</w:t>
      </w:r>
    </w:p>
    <w:p>
      <w:pPr>
        <w:pStyle w:val="Heading3"/>
      </w:pPr>
      <w:r>
        <w:rPr>
          <w:rFonts w:ascii="Times New Roman" w:hAnsi="Times New Roman"/>
        </w:rPr>
        <w:t>II. Aufhebungsanspruch nach Artikel 49 Absatz 1 a CISG</w:t>
      </w:r>
    </w:p>
    <w:p>
      <w:pPr>
        <w:jc w:val="left"/>
      </w:pPr>
      <w:r>
        <w:t>Die Klägerin kann den Vertrag aufheben und nach Artikel 81 Absatz 2 CISG den Kaufpreis Zug um Zug gegen Rückgabe der Brille zurückverlangen.</w:t>
      </w:r>
    </w:p>
    <w:p>
      <w:pPr>
        <w:jc w:val="left"/>
      </w:pPr>
      <w:r>
        <w:rPr>
          <w:b/>
        </w:rPr>
        <w:t>1. Sachmangel nach Artikel 35 CISG.</w:t>
      </w:r>
      <w:r>
        <w:t xml:space="preserve"> Die Brille entspricht nicht dem Vertrag im Sinne von Artikel 35 Absatz 1 CISG.</w:t>
      </w:r>
    </w:p>
    <w:p>
      <w:pPr>
        <w:jc w:val="left"/>
      </w:pPr>
      <w:r>
        <w:t>Die Brille ist nicht für die Zwecke geeignet, für die Ware der gleichen Art gewöhnlich gebraucht wird (Artikel 35 Absatz 2 a CISG). Eine Augmented-Reality-Brille wird typischerweise in der Öffentlichkeit getragen. Eine Brille, deren Werkszustand zur heimlichen Aufzeichnung Dritter (60-Sekunden-Ringspeicher ohne LED-Anzeige) führt, kann nicht bestimmungsgemaess in der Öffentlichkeit getragen werden, ohne dass der Träger zwingend gegen Artikel 6 DSGVO und Paragraf 201a StGB verstoesst. Es liegt also nicht nur ein einzelner Nutzungsfehler vor, sondern eine bauartbedingte Inkompatibilität mit der gewöhnlichen Verwendung am Markt EU.</w:t>
      </w:r>
    </w:p>
    <w:p>
      <w:pPr>
        <w:jc w:val="left"/>
      </w:pPr>
      <w:r>
        <w:t>Die Brille ist auch für den besonderen Zweck der Klägerin ungeeignet (Artikel 35 Absatz 2 b CISG). Die Klägerin ist ein Datenschutzverein. Ihre erkennbar besondere Erwartung, eine datenschutzkonforme Augmented-Reality-Brille zu erwerben, hat die Beklagte über den Bestellvorgang (E-Mail-Domain, Lieferadresse, Vereinsname) zur Kenntnis nehmen müssen.</w:t>
      </w:r>
    </w:p>
    <w:p>
      <w:pPr>
        <w:jc w:val="left"/>
      </w:pPr>
      <w:r>
        <w:t>Eine Auseinandersetzung mit der Frage, ob die Brille technisch funktioniere (8K-Auflösung, Akkulaufzeit), ändert daran nichts. Vertragsmaessigkeit nach Artikel 35 CISG erfasst nicht nur die rein technische Funktionsfähigkeit, sondern die Eignung für den im Verkehr üblichen Gebrauch. Eine in der EU faktisch nicht verwendbare Brille ist nicht vertragsmaessig.</w:t>
      </w:r>
    </w:p>
    <w:p>
      <w:pPr>
        <w:jc w:val="left"/>
      </w:pPr>
      <w:r>
        <w:rPr>
          <w:b/>
        </w:rPr>
        <w:t>2. Mangel bestand bei Gefahruebergang.</w:t>
      </w:r>
      <w:r>
        <w:t xml:space="preserve"> Der Sachmangel besteht in der Software- und Hardwarekonfiguration im Werkszustand. Diese war ausweislich des unbestrittenen Gutachtens schon zur Zeit der Auslieferung in Galway vorhanden. Damit haftet die Beklagte nach Artikel 36 Absatz 1 CISG auch nach FOB-Gefahruebergang. Auf Artikel 67 CISG kann sich die Beklagte daher nicht entlastend berufen.</w:t>
      </w:r>
    </w:p>
    <w:p>
      <w:pPr>
        <w:jc w:val="left"/>
      </w:pPr>
      <w:r>
        <w:rPr>
          <w:b/>
        </w:rPr>
        <w:t>3. Wesentliche Vertragsverletzung, Artikel 25 CISG.</w:t>
      </w:r>
      <w:r>
        <w:t xml:space="preserve"> Die DSGVO-Widrigkeit ist ein wesentlicher Vertragsverstoss. Der Klägerin geht damit der wesentliche Vorteil des Vertrags, nämlich die rechtmaessige Verwendung der Brille im Alltag, verloren. Die Beklagte hat einen solchen Verstoss als professionelle Anbieterin von AR-Geräten im EU-Markt voraussehen müssen.</w:t>
      </w:r>
    </w:p>
    <w:p>
      <w:pPr>
        <w:jc w:val="left"/>
      </w:pPr>
      <w:r>
        <w:rPr>
          <w:b/>
        </w:rPr>
        <w:t>4. Aufhebungserklärung.</w:t>
      </w:r>
      <w:r>
        <w:t xml:space="preserve"> Die Klägerin hat den Vertrag mit Schreiben vom 23. Februar 2026 (Anlage K 6) wirksam aufgehoben, Artikel 26 CISG.</w:t>
      </w:r>
    </w:p>
    <w:p>
      <w:pPr>
        <w:jc w:val="left"/>
      </w:pPr>
      <w:r>
        <w:rPr>
          <w:b/>
        </w:rPr>
        <w:t>5. Rückabwicklung.</w:t>
      </w:r>
      <w:r>
        <w:t xml:space="preserve"> Nach Artikel 81 Absatz 2 CISG kann die Klägerin den Kaufpreis zurückverlangen Zug um Zug gegen Rückgabe der Brille. Der Antrag zu 1 ist daher in Höhe von 1197 EUR begründet.</w:t>
      </w:r>
    </w:p>
    <w:p>
      <w:pPr>
        <w:pStyle w:val="Heading3"/>
      </w:pPr>
      <w:r>
        <w:rPr>
          <w:rFonts w:ascii="Times New Roman" w:hAnsi="Times New Roman"/>
        </w:rPr>
        <w:t>III. Gutachterkosten als Schadensersatz, Artikel 74 CISG</w:t>
      </w:r>
    </w:p>
    <w:p>
      <w:pPr>
        <w:jc w:val="left"/>
      </w:pPr>
      <w:r>
        <w:t>Die Klägerin kann nach Artikel 74 CISG die Kosten des Sachverstaendigengutachtens in Höhe von 380 EUR als Folgeschaden ersetzt verlangen. Die Kosten waren zur Klärung des Mangels objektiv erforderlich; ein Privatgutachten ist regelmaessig im Vorfeld einer Aufhebungserklärung erstattungsfaehig.</w:t>
      </w:r>
    </w:p>
    <w:p>
      <w:pPr>
        <w:pStyle w:val="Heading3"/>
      </w:pPr>
      <w:r>
        <w:rPr>
          <w:rFonts w:ascii="Times New Roman" w:hAnsi="Times New Roman"/>
        </w:rPr>
        <w:t>IV. Annahmeverzug</w:t>
      </w:r>
    </w:p>
    <w:p>
      <w:pPr>
        <w:jc w:val="left"/>
      </w:pPr>
      <w:r>
        <w:t>Die Beklagte hat mit Schreiben vom 25. Februar 2026 die Rücknahme der Brille endgültig verweigert. Damit ist sie nach Artikel 81 CISG in Verbindung mit den allgemeinen schuldrechtlichen Grundsätzen in Annahmeverzug geraten, jedenfalls seit dem 6. März 2026 (Ablauf der Fristsetzung). Das Feststellungsinteresse folgt aus dem Bedarf an Klarheit für die Zwangsvollstreckung.</w:t>
      </w:r>
    </w:p>
    <w:p>
      <w:pPr>
        <w:pStyle w:val="Heading3"/>
      </w:pPr>
      <w:r>
        <w:rPr>
          <w:rFonts w:ascii="Times New Roman" w:hAnsi="Times New Roman"/>
        </w:rPr>
        <w:t>V. Zinsen</w:t>
      </w:r>
    </w:p>
    <w:p>
      <w:pPr>
        <w:jc w:val="left"/>
      </w:pPr>
      <w:r>
        <w:t>Der Zinsanspruch folgt aus Paragraf 286 Absatz 1, Paragraf 288 Absatz 2 BGB in Verbindung mit Artikel 78 CISG. Verzugseintritt zum 6. März 2026 (nach Ablauf der Fristsetzung); Verzinsung mit neun Prozentpunkten über dem Basiszinssatz, da auf Klaegerseite ein Verein und auf Beklagtenseite ein Unternehmer steht.</w:t>
      </w:r>
    </w:p>
    <w:p>
      <w:pPr>
        <w:jc w:val="left"/>
      </w:pPr>
      <w:r>
        <w:t>Hinsichtlich der Gutachterkosten besteht ein Anspruch auf Prozesszinsen seit Rechtshaengigkeit, Paragraf 291 BGB.</w:t>
      </w:r>
    </w:p>
    <w:p>
      <w:pPr>
        <w:pStyle w:val="Heading2"/>
      </w:pPr>
      <w:r>
        <w:rPr>
          <w:rFonts w:ascii="Times New Roman" w:hAnsi="Times New Roman"/>
        </w:rPr>
        <w:t>C. Nebenentscheidungen</w:t>
      </w:r>
    </w:p>
    <w:p>
      <w:pPr>
        <w:jc w:val="left"/>
      </w:pPr>
      <w:r>
        <w:t>Die Kostenentscheidung folgt aus Paragraf 91 Absatz 1 ZPO. Die Beklagte unterliegt vollständig.</w:t>
      </w:r>
    </w:p>
    <w:p>
      <w:pPr>
        <w:jc w:val="left"/>
      </w:pPr>
      <w:r>
        <w:t>Die Entscheidung zur vorläufigen Vollstreckbarkeit beruht auf Paragraf 708 Nummer 11 ZPO in Verbindung mit Paragraf 711 ZPO.</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Das Amtsgericht ist nach Paragraf 23 Nummer 1 GVG sachlich zuständig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Das Amtsgericht ist nach Paragraf 23 Nummer 1 GVG sachlich zuständig</w:t>
    </w:r>
  </w:p>
  <w:p>
    <w:pPr>
      <w:jc w:val="left"/>
      <w:pBdr>
        <w:bottom w:val="single" w:sz="6" w:space="2" w:color="3B3F45"/>
      </w:pBdr>
    </w:pPr>
    <w:r>
      <w:rPr>
        <w:rFonts w:ascii="Times New Roman" w:hAnsi="Times New Roman"/>
        <w:color w:val="6B6B66"/>
        <w:sz w:val="16"/>
      </w:rPr>
      <w:t>weil der Streitwert mit 1577 EUR unter der Wertgrenze von 5000 EUR liegt.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