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Workflow — Relation und Prüfpunkte Solis Vision X</w:t>
      </w:r>
    </w:p>
    <w:p>
      <w:pPr>
        <w:jc w:val="left"/>
      </w:pPr>
      <w:r>
        <w:rPr>
          <w:b/>
        </w:rPr>
        <w:t>Akte:</w:t>
      </w:r>
      <w:r>
        <w:t xml:space="preserve"> Datenschutzverein NORD e.V. ./. Lir Optics Ltd.</w:t>
      </w:r>
    </w:p>
    <w:p>
      <w:pPr>
        <w:jc w:val="left"/>
      </w:pPr>
      <w:r>
        <w:rPr>
          <w:b/>
        </w:rPr>
        <w:t>Gericht:</w:t>
      </w:r>
      <w:r>
        <w:t xml:space="preserve"> Amtsgericht Hamburg, 11 C 2406/26</w:t>
      </w:r>
    </w:p>
    <w:p>
      <w:pPr>
        <w:jc w:val="left"/>
      </w:pPr>
      <w:r>
        <w:rPr>
          <w:b/>
        </w:rPr>
        <w:t>Streitgegenstand:</w:t>
      </w:r>
      <w:r>
        <w:t xml:space="preserve"> AR-Brille, CISG, kollidierende AGB, Datenschutzmangel, Rückabwicklung</w:t>
      </w:r>
    </w:p>
    <w:p>
      <w:pPr>
        <w:pStyle w:val="Heading2"/>
      </w:pPr>
      <w:r>
        <w:rPr>
          <w:rFonts w:ascii="Times New Roman" w:hAnsi="Times New Roman"/>
        </w:rPr>
        <w:t>1. Relationelle Reihenfolge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Schwerpunkt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Aktenintake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Parteien, Anträge, Anlagen, Streitwert, Zuständigkeit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Zulässigkeit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Internationale Zuständigkeit, sachliche Zuständigkeit, Klageantrag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Anwendbares 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Rechtswahl, CISG, Rom I, DSGVO als Eingriffsnorm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 und AGB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Angebot, Annahme, kollidierende AGB, Knock-out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Sachmangel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gewöhnliche Verwendung, Datenschutzkonformität, Art. 35 CISG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Gefahrübergang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Incoterm FOB Galway, Art. 36 CISG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Rechtsfolgen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Vertragsaufhebung, Rückzahlung, Zinsen, Nebenforderungen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Beweiswürdigung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Testkauf, Streaming-Protokolle, Sachverständigenaussage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Tenor und Nebenentscheidungen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Vollstreckbarkeit, Kosten, Rechtsmittel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2. Kernprobleme</w:t>
      </w:r>
    </w:p>
    <w:p>
      <w:pPr>
        <w:pStyle w:val="ListNumber"/>
      </w:pPr>
      <w:r>
        <w:rPr>
          <w:b/>
        </w:rPr>
        <w:t>FOB Galway:</w:t>
      </w:r>
      <w:r>
        <w:t xml:space="preserve"> Ein bereits bei Verladung angelegter Mangel bleibt Verkäuferverantwortung nach Art. 36 Abs. 1 CISG.</w:t>
      </w:r>
    </w:p>
    <w:p>
      <w:pPr>
        <w:pStyle w:val="ListNumber"/>
      </w:pPr>
      <w:r>
        <w:rPr>
          <w:b/>
        </w:rPr>
        <w:t>AGB-Kollision:</w:t>
      </w:r>
      <w:r>
        <w:t xml:space="preserve"> Last-Shot-Argumentation kritisch prüfen; deutsches Verständnis der Knock-out-Lösung sauber begründen.</w:t>
      </w:r>
    </w:p>
    <w:p>
      <w:pPr>
        <w:pStyle w:val="ListNumber"/>
      </w:pPr>
      <w:r>
        <w:rPr>
          <w:b/>
        </w:rPr>
        <w:t>DSGVO als Produktmangel:</w:t>
      </w:r>
      <w:r>
        <w:t xml:space="preserve"> Wenn die Brille im EU-Markt wegen heimlicher Aufzeichnung, Gesichtserkennung und Drittlandtransfer praktisch nicht rechtmäßig nutzbar ist, kann das die gewöhnliche Verwendung betreffen.</w:t>
      </w:r>
    </w:p>
    <w:p>
      <w:pPr>
        <w:pStyle w:val="ListNumber"/>
      </w:pPr>
      <w:r>
        <w:rPr>
          <w:b/>
        </w:rPr>
        <w:t>Schweizer Rechtswahl:</w:t>
      </w:r>
      <w:r>
        <w:t xml:space="preserve"> CISG wird dadurch nicht automatisch ausgeschlossen; Art. 6 CISG verlangt eine hinreichend klare Abwahl.</w:t>
      </w:r>
    </w:p>
    <w:p>
      <w:pPr>
        <w:pStyle w:val="ListNumber"/>
      </w:pPr>
      <w:r>
        <w:rPr>
          <w:b/>
        </w:rPr>
        <w:t>Zinsen:</w:t>
      </w:r>
      <w:r>
        <w:t xml:space="preserve"> Bei beiderseitigem Unternehmergeschäft § 288 Abs. 2 BGB im Blick behalten, soweit deutsches Recht für Nebenfragen trägt.</w:t>
      </w:r>
    </w:p>
    <w:p>
      <w:pPr>
        <w:pStyle w:val="Heading2"/>
      </w:pPr>
      <w:r>
        <w:rPr>
          <w:rFonts w:ascii="Times New Roman" w:hAnsi="Times New Roman"/>
        </w:rPr>
        <w:t>3. Mindestoutput</w:t>
      </w:r>
    </w:p>
    <w:p>
      <w:pPr>
        <w:pStyle w:val="ListBullet"/>
      </w:pPr>
      <w:r>
        <w:t>Aktenübersicht mit Anlagenverzeichnis.</w:t>
      </w:r>
    </w:p>
    <w:p>
      <w:pPr>
        <w:pStyle w:val="ListBullet"/>
      </w:pPr>
      <w:r>
        <w:t>Relationsgutachten mit Zulässigkeit, Schlüssigkeit, Erheblichkeit und Beweisstation.</w:t>
      </w:r>
    </w:p>
    <w:p>
      <w:pPr>
        <w:pStyle w:val="ListBullet"/>
      </w:pPr>
      <w:r>
        <w:t>Entscheidungsentwurf mit Tatbestand, Entscheidungsgründen, Tenor und Nebenentscheidungen.</w:t>
      </w:r>
    </w:p>
    <w:p>
      <w:pPr>
        <w:pStyle w:val="ListBullet"/>
      </w:pPr>
      <w:r>
        <w:t>Berufungsfestigkeitscheck: tragende Erwägungen, Beweiswürdigung, Rechtsmittelwert.</w:t>
      </w:r>
    </w:p>
    <w:p>
      <w:pPr>
        <w:pStyle w:val="Heading2"/>
      </w:pPr>
      <w:r>
        <w:rPr>
          <w:rFonts w:ascii="Times New Roman" w:hAnsi="Times New Roman"/>
        </w:rPr>
        <w:t>4. Kontrollfragen vor Abgabe</w:t>
      </w:r>
    </w:p>
    <w:p>
      <w:pPr>
        <w:pStyle w:val="ListBullet"/>
      </w:pPr>
      <w:r>
        <w:t>Ist der CISG-Anwendungsbereich vor der AGB-Prüfung sauber entschieden?</w:t>
      </w:r>
    </w:p>
    <w:p>
      <w:pPr>
        <w:pStyle w:val="ListBullet"/>
      </w:pPr>
      <w:r>
        <w:t>Sind Datenschutzverstöße als Sachmangel begründet und nicht nur moralisch bewertet?</w:t>
      </w:r>
    </w:p>
    <w:p>
      <w:pPr>
        <w:pStyle w:val="ListBullet"/>
      </w:pPr>
      <w:r>
        <w:t>Ist der Streitwert mit 1.577 EUR sachlich beim Amtsgericht eingeordnet?</w:t>
      </w:r>
    </w:p>
    <w:p>
      <w:pPr>
        <w:pStyle w:val="ListBullet"/>
      </w:pPr>
      <w:r>
        <w:t>Sind alle Tatsachen aus Anlagen in den Tatbestand überführt?</w:t>
      </w:r>
    </w:p>
    <w:p>
      <w:pPr>
        <w:pStyle w:val="ListBullet"/>
      </w:pPr>
      <w:r>
        <w:t>Ist der Tenor vollstreckbar und kostenrechtlich anschlussfähig?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Hamburg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Hamburg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11 C 2406/26 · 11 C 2406/26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